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8C9" w:rsidRPr="009E29E8" w:rsidRDefault="006828C9" w:rsidP="006828C9">
      <w:pPr>
        <w:jc w:val="center"/>
      </w:pPr>
      <w:bookmarkStart w:id="0" w:name="_GoBack"/>
      <w:bookmarkEnd w:id="0"/>
      <w:r w:rsidRPr="009E29E8">
        <w:rPr>
          <w:b/>
          <w:bCs/>
        </w:rPr>
        <w:t>КОМИСИЯ ЗА ЗАЩИТА НА КОНКУРЕНЦИЯТА</w:t>
      </w:r>
    </w:p>
    <w:p w:rsidR="006828C9" w:rsidRPr="009E29E8" w:rsidRDefault="006828C9" w:rsidP="006828C9">
      <w:pPr>
        <w:jc w:val="center"/>
        <w:rPr>
          <w:b/>
          <w:bCs/>
        </w:rPr>
      </w:pPr>
    </w:p>
    <w:p w:rsidR="006828C9" w:rsidRPr="009E29E8" w:rsidRDefault="006828C9" w:rsidP="006828C9">
      <w:pPr>
        <w:jc w:val="center"/>
      </w:pPr>
      <w:r w:rsidRPr="009E29E8">
        <w:rPr>
          <w:b/>
          <w:bCs/>
        </w:rPr>
        <w:t>МЕТОДИКА</w:t>
      </w:r>
    </w:p>
    <w:p w:rsidR="006828C9" w:rsidRPr="009E29E8" w:rsidRDefault="006828C9" w:rsidP="006828C9">
      <w:pPr>
        <w:jc w:val="center"/>
      </w:pPr>
      <w:r w:rsidRPr="009E29E8">
        <w:rPr>
          <w:b/>
          <w:bCs/>
        </w:rPr>
        <w:t>за определяне на санкциите и глобите, налагани по Закона за защита на конкуренцията</w:t>
      </w:r>
    </w:p>
    <w:p w:rsidR="006828C9" w:rsidRPr="009E29E8" w:rsidRDefault="006828C9" w:rsidP="006828C9"/>
    <w:p w:rsidR="006828C9" w:rsidRPr="009E29E8" w:rsidRDefault="006828C9" w:rsidP="006828C9">
      <w:pPr>
        <w:spacing w:before="120" w:after="120"/>
        <w:jc w:val="center"/>
      </w:pPr>
      <w:r w:rsidRPr="009E29E8">
        <w:t>І. ОБЩИ ПОЛОЖЕНИЯ</w:t>
      </w:r>
    </w:p>
    <w:p w:rsidR="006828C9" w:rsidRPr="009E29E8" w:rsidRDefault="006828C9" w:rsidP="000C240C">
      <w:pPr>
        <w:ind w:firstLine="708"/>
      </w:pPr>
      <w:r w:rsidRPr="009E29E8">
        <w:rPr>
          <w:b/>
          <w:bCs/>
        </w:rPr>
        <w:t xml:space="preserve">Чл. 1. </w:t>
      </w:r>
      <w:r w:rsidRPr="009E29E8">
        <w:t>В настоящата методика се определят методите, които Комисията за защита на конкуренцията (КЗК) прилага при определяне на имуществените санкции, глобите, периодичните имуществени санкции и периодичните глоби, налагани на предприятия, на сдружения на предприятия или на физически лица за извършените от тях нарушения по Закона за защита на конкуренцията (ЗЗК).</w:t>
      </w:r>
    </w:p>
    <w:p w:rsidR="006828C9" w:rsidRPr="009E29E8" w:rsidRDefault="006828C9" w:rsidP="000C240C">
      <w:pPr>
        <w:ind w:firstLine="708"/>
      </w:pPr>
      <w:r w:rsidRPr="009E29E8">
        <w:rPr>
          <w:b/>
          <w:bCs/>
        </w:rPr>
        <w:t xml:space="preserve">Чл. 2. </w:t>
      </w:r>
      <w:r w:rsidRPr="009E29E8">
        <w:t>При определяне на конкретните размери на санкциите КЗК взема предвид тежестта и продължителността на нарушението, както и смекчаващите и отегчаващите отговорността обстоятелства, като не може да превиши максималния размер, определен в ЗЗК.</w:t>
      </w:r>
    </w:p>
    <w:p w:rsidR="006828C9" w:rsidRPr="009E29E8" w:rsidRDefault="006828C9" w:rsidP="000C240C">
      <w:pPr>
        <w:ind w:firstLine="708"/>
      </w:pPr>
      <w:r w:rsidRPr="009E29E8">
        <w:rPr>
          <w:b/>
          <w:bCs/>
        </w:rPr>
        <w:t xml:space="preserve">Чл. 3. </w:t>
      </w:r>
      <w:r w:rsidRPr="009E29E8">
        <w:t xml:space="preserve">В съответствие с принципите на безпристрастност и правна сигурност във всяко свое решение, с което налага санкция на предприятие, на сдружение на предприятия или глоба на физическо лице, КЗК излага конкретните си мотиви относно индивидуализацията на наказанието. </w:t>
      </w:r>
    </w:p>
    <w:p w:rsidR="006828C9" w:rsidRPr="009E29E8" w:rsidRDefault="006828C9" w:rsidP="000C240C">
      <w:pPr>
        <w:ind w:firstLine="708"/>
      </w:pPr>
      <w:r w:rsidRPr="009E29E8">
        <w:rPr>
          <w:b/>
          <w:bCs/>
        </w:rPr>
        <w:t xml:space="preserve">Чл. 4. </w:t>
      </w:r>
      <w:r w:rsidRPr="009E29E8">
        <w:t xml:space="preserve">Имуществените санкции и глобите по ЗЗК имат за цел да накажат нарушителя, да го възпрат от повторно извършване на нарушението (специална превенция) и да предотвратят извършването на нарушения от други предприятия, сдружения на предприятия или физически лица (обща превенция). Периодичните имуществени санкции и периодичните глоби се налагат с цел да се принуди нарушителят да преустанови нарушението. </w:t>
      </w:r>
    </w:p>
    <w:p w:rsidR="006828C9" w:rsidRPr="009E29E8" w:rsidRDefault="006828C9" w:rsidP="000C240C">
      <w:pPr>
        <w:ind w:firstLine="708"/>
      </w:pPr>
      <w:r w:rsidRPr="009E29E8">
        <w:rPr>
          <w:b/>
          <w:bCs/>
        </w:rPr>
        <w:t xml:space="preserve">Чл. 5. </w:t>
      </w:r>
      <w:r w:rsidRPr="009E29E8">
        <w:t>В съответствие с принципа на пропорционалност конкретните размери на имуществените санкции, глобите, периодичните имуществени санкции и периодичните глоби не следва да надхвърлят необходимото за ефективното наказване на нарушителя и за постигане на достатъчен възпиращ ефект (превенция).</w:t>
      </w:r>
    </w:p>
    <w:p w:rsidR="006828C9" w:rsidRPr="009E29E8" w:rsidRDefault="006828C9" w:rsidP="000C240C">
      <w:pPr>
        <w:ind w:firstLine="708"/>
      </w:pPr>
      <w:r w:rsidRPr="009E29E8">
        <w:rPr>
          <w:b/>
          <w:bCs/>
        </w:rPr>
        <w:t xml:space="preserve">Чл. 6. </w:t>
      </w:r>
      <w:r w:rsidRPr="009E29E8">
        <w:t>За да се постигне достатъчен възпиращ ефект, конкретните размери на имуществените санкции, глобите, периодичните имуществени санкции и периодичните глоби следва да надвишават възможните противоправни стопански облаги, които могат да бъдат придобити в резултат на нарушението. Този принцип се прилага само когато е възможно изчисляването на размера на тези стопански облаги, като КЗК не е задължена да извършва такива изчисления.</w:t>
      </w:r>
    </w:p>
    <w:p w:rsidR="006828C9" w:rsidRDefault="006828C9" w:rsidP="000C240C">
      <w:pPr>
        <w:ind w:firstLine="708"/>
      </w:pPr>
      <w:r w:rsidRPr="009E29E8">
        <w:rPr>
          <w:b/>
          <w:bCs/>
        </w:rPr>
        <w:t xml:space="preserve">Чл. 7. </w:t>
      </w:r>
      <w:r w:rsidRPr="009E29E8">
        <w:t>При определяне на конкретните размери на имуществените санкции, глобите, периодичните имуществени санкции и периодичните глоби КЗК осигурява достатъчна степен на прозрачност и предвидимост. Едновременно с това обаче КЗК не прилага автоматични аритметични методи за определяне на санкциите с оглед предотвратяване възможността на нарушителите да изчислят предварително точния размер на санкцията, която би им била наложена, с цел да калкулират този размер като „разход нарушение“.</w:t>
      </w:r>
    </w:p>
    <w:p w:rsidR="00C94086" w:rsidRPr="009E29E8" w:rsidRDefault="00C94086" w:rsidP="000C240C">
      <w:pPr>
        <w:ind w:firstLine="708"/>
      </w:pPr>
    </w:p>
    <w:p w:rsidR="006828C9" w:rsidRPr="009E29E8" w:rsidRDefault="006828C9" w:rsidP="006828C9">
      <w:pPr>
        <w:spacing w:before="120" w:after="120"/>
        <w:jc w:val="center"/>
      </w:pPr>
      <w:r w:rsidRPr="009E29E8">
        <w:lastRenderedPageBreak/>
        <w:t>ІІ. ОПРЕДЕЛЯНЕ НА ИМУЩЕСТВЕНИТЕ САНКЦИИ ЗА НАРУШЕНИЯ ПО ГЛАВИ ТРЕТА И ЧЕТВЪРТА ОТ ЗЗК ИЛИ ПО ЧЛ. 101 ИЛИ 102 ОТ ДФЕС</w:t>
      </w:r>
    </w:p>
    <w:p w:rsidR="006828C9" w:rsidRPr="009E29E8" w:rsidRDefault="006828C9" w:rsidP="00187535">
      <w:pPr>
        <w:spacing w:before="120"/>
        <w:jc w:val="center"/>
      </w:pPr>
      <w:r w:rsidRPr="009E29E8">
        <w:rPr>
          <w:i/>
          <w:iCs/>
        </w:rPr>
        <w:t>Прилагане на двустепенен метод</w:t>
      </w:r>
    </w:p>
    <w:p w:rsidR="006828C9" w:rsidRPr="009E29E8" w:rsidRDefault="006828C9" w:rsidP="000C240C">
      <w:pPr>
        <w:ind w:firstLine="708"/>
      </w:pPr>
      <w:r w:rsidRPr="009E29E8">
        <w:rPr>
          <w:b/>
          <w:bCs/>
        </w:rPr>
        <w:t xml:space="preserve">Чл. 8. </w:t>
      </w:r>
      <w:r w:rsidRPr="009E29E8">
        <w:t xml:space="preserve">Имуществените санкции за нарушения по глави трета или четвърта от ЗЗК или по чл. 101 или 102 от ДФЕС се определят при прилагане на двустепенен метод, като най-напред се индивидуализира основният размер на санкцията, който след това се увеличава или намалява при наличие на отегчаващи или смекчаващи отговорността обстоятелства. </w:t>
      </w:r>
    </w:p>
    <w:p w:rsidR="006828C9" w:rsidRPr="00187535" w:rsidRDefault="006828C9" w:rsidP="00187535">
      <w:pPr>
        <w:spacing w:before="120"/>
        <w:jc w:val="center"/>
        <w:rPr>
          <w:i/>
          <w:iCs/>
        </w:rPr>
      </w:pPr>
      <w:r w:rsidRPr="009E29E8">
        <w:rPr>
          <w:i/>
          <w:iCs/>
        </w:rPr>
        <w:t>Определяне на основния размер на санкцията</w:t>
      </w:r>
    </w:p>
    <w:p w:rsidR="006828C9" w:rsidRPr="009E29E8" w:rsidRDefault="006828C9" w:rsidP="000C240C">
      <w:pPr>
        <w:ind w:firstLine="708"/>
      </w:pPr>
      <w:r w:rsidRPr="009E29E8">
        <w:rPr>
          <w:b/>
          <w:bCs/>
        </w:rPr>
        <w:t xml:space="preserve">Чл. 9. </w:t>
      </w:r>
      <w:r w:rsidRPr="009E29E8">
        <w:t>(1) КЗК определя основния размер на санкцията въз основа на стойността на продажбите, реализирани от предприятието на територията на определения съответен и/или засегнат пазар, през последната финансова година от участието му в нарушението.</w:t>
      </w:r>
    </w:p>
    <w:p w:rsidR="006828C9" w:rsidRPr="009E29E8" w:rsidRDefault="006828C9" w:rsidP="000C240C">
      <w:pPr>
        <w:ind w:firstLine="708"/>
      </w:pPr>
      <w:r w:rsidRPr="009E29E8">
        <w:t>(2) КЗК изчислява стойността на продажбите, като взема предвид реализираните от предприятието нетни</w:t>
      </w:r>
      <w:r w:rsidR="000C240C">
        <w:rPr>
          <w:rStyle w:val="FootnoteReference"/>
        </w:rPr>
        <w:footnoteReference w:id="1"/>
      </w:r>
      <w:r w:rsidR="000C240C">
        <w:rPr>
          <w:lang w:val="en-US"/>
        </w:rPr>
        <w:t xml:space="preserve"> </w:t>
      </w:r>
      <w:r w:rsidRPr="009E29E8">
        <w:t>приходи от продажби на съответните продукти (стоки, услуги или продукция), които са пряко или косвено</w:t>
      </w:r>
      <w:r w:rsidR="000C240C">
        <w:rPr>
          <w:rStyle w:val="FootnoteReference"/>
        </w:rPr>
        <w:footnoteReference w:id="2"/>
      </w:r>
      <w:r w:rsidRPr="009E29E8">
        <w:t xml:space="preserve"> засегнати или биха могли да бъдат засегнати от нарушението. </w:t>
      </w:r>
    </w:p>
    <w:p w:rsidR="006828C9" w:rsidRPr="009E29E8" w:rsidRDefault="006828C9" w:rsidP="000C240C">
      <w:pPr>
        <w:ind w:firstLine="708"/>
      </w:pPr>
      <w:r w:rsidRPr="009E29E8">
        <w:t>(3) В случаите, когато предприятието няма приходи по ал. 2, КЗК изчислява стойността на продажбите въз основа на общите приходи от извършваната от предприятието дейност.</w:t>
      </w:r>
    </w:p>
    <w:p w:rsidR="006828C9" w:rsidRPr="009E29E8" w:rsidRDefault="006828C9" w:rsidP="000C240C">
      <w:pPr>
        <w:ind w:firstLine="708"/>
      </w:pPr>
      <w:r w:rsidRPr="009E29E8">
        <w:t xml:space="preserve">(4) КЗК определя основния размер на санкцията като процент от стойността на продажбите в зависимост от тежестта на нарушението, както следва: </w:t>
      </w:r>
    </w:p>
    <w:p w:rsidR="006828C9" w:rsidRPr="009E29E8" w:rsidRDefault="006828C9" w:rsidP="000C240C">
      <w:pPr>
        <w:ind w:firstLine="708"/>
      </w:pPr>
      <w:r w:rsidRPr="009E29E8">
        <w:t>1. за леките нарушения – до 8 % от стойността на продажбите;</w:t>
      </w:r>
    </w:p>
    <w:p w:rsidR="006828C9" w:rsidRPr="009E29E8" w:rsidRDefault="006828C9" w:rsidP="000C240C">
      <w:pPr>
        <w:ind w:firstLine="708"/>
      </w:pPr>
      <w:r w:rsidRPr="009E29E8">
        <w:t>2. за не особено тежките нарушения – до 12 % от стойността на продажбите;</w:t>
      </w:r>
    </w:p>
    <w:p w:rsidR="006828C9" w:rsidRPr="009E29E8" w:rsidRDefault="006828C9" w:rsidP="000C240C">
      <w:pPr>
        <w:ind w:firstLine="708"/>
      </w:pPr>
      <w:r w:rsidRPr="009E29E8">
        <w:t xml:space="preserve">3. за тежките нарушения – до 15 % от стойността на продажбите. </w:t>
      </w:r>
    </w:p>
    <w:p w:rsidR="006828C9" w:rsidRPr="009E29E8" w:rsidRDefault="006828C9" w:rsidP="000C240C">
      <w:pPr>
        <w:ind w:firstLine="708"/>
      </w:pPr>
      <w:r w:rsidRPr="009E29E8">
        <w:t>(5) За нарушение, извършено от сдружение на предприятия, което е свързано с дейността на членовете му, комисията налага имуществена санкция на сдружението в размер до 10 % от сумата на общия оборот на всеки член на сдружението, който развива дейност на пазара, засегнат от нарушението, за предходната финансова година, като:</w:t>
      </w:r>
    </w:p>
    <w:p w:rsidR="006828C9" w:rsidRPr="009E29E8" w:rsidRDefault="006828C9" w:rsidP="00557282">
      <w:pPr>
        <w:ind w:firstLine="708"/>
      </w:pPr>
      <w:r w:rsidRPr="009E29E8">
        <w:t>1. при определяне на основния размер на санкцията въз основа на оборота на членовете на сдружението комисията прилага правилата по предходните точки;</w:t>
      </w:r>
    </w:p>
    <w:p w:rsidR="006828C9" w:rsidRPr="009E29E8" w:rsidRDefault="006828C9" w:rsidP="00557282">
      <w:pPr>
        <w:ind w:firstLine="708"/>
      </w:pPr>
      <w:r w:rsidRPr="009E29E8">
        <w:t>2. в случаите, когато се налага санкция не само на сдружение, но и на неговите членове, оборотът на неговите членове, на които е наложена санкция, не следва да се взема предвид при изчисляването на санкцията на сдружението;</w:t>
      </w:r>
    </w:p>
    <w:p w:rsidR="006828C9" w:rsidRPr="009E29E8" w:rsidRDefault="006828C9" w:rsidP="00557282">
      <w:pPr>
        <w:ind w:firstLine="708"/>
      </w:pPr>
      <w:r w:rsidRPr="009E29E8">
        <w:t>3. в решението по чл. 9, ал. 4, с което комисията се произнася по чл. 60, ал. 1, т. 2 и 3 от ЗЗК, комисията индивидуализира предприятията, чиито представители са били членове на управителните или контролните органи на сдружението, както и всички негови членове, осъществявали дейност на пазара, на който е извършено нарушението, и определя каква би била имуществената им отговорност, в случай че сдружението не е в състояние да изпълни своето задължение.</w:t>
      </w:r>
    </w:p>
    <w:p w:rsidR="006828C9" w:rsidRPr="009E29E8" w:rsidRDefault="006828C9" w:rsidP="00557282">
      <w:pPr>
        <w:ind w:firstLine="708"/>
      </w:pPr>
      <w:r w:rsidRPr="009E29E8">
        <w:lastRenderedPageBreak/>
        <w:t>(6) За нарушение, извършено от сдружение на предприятия, което не е свързано с дейността на членовете му, в случай че то не реализира приходи от продажби, КЗК определя основния размер на санкцията в зависимост от тежестта на нарушението, както следва:</w:t>
      </w:r>
    </w:p>
    <w:p w:rsidR="006828C9" w:rsidRPr="009E29E8" w:rsidRDefault="006828C9" w:rsidP="00557282">
      <w:pPr>
        <w:ind w:firstLine="708"/>
      </w:pPr>
      <w:r w:rsidRPr="009E29E8">
        <w:t>1. за леките нарушения – основният размер на санкцията е до 100 000 лв.;</w:t>
      </w:r>
    </w:p>
    <w:p w:rsidR="006828C9" w:rsidRPr="009E29E8" w:rsidRDefault="006828C9" w:rsidP="00557282">
      <w:pPr>
        <w:ind w:firstLine="708"/>
      </w:pPr>
      <w:r w:rsidRPr="009E29E8">
        <w:t>2. за не особено тежките нарушения – основният размер на санкцията е до 150 000 лв.;</w:t>
      </w:r>
    </w:p>
    <w:p w:rsidR="006828C9" w:rsidRPr="009E29E8" w:rsidRDefault="006828C9" w:rsidP="00557282">
      <w:pPr>
        <w:ind w:firstLine="708"/>
      </w:pPr>
      <w:r w:rsidRPr="009E29E8">
        <w:t>3. за тежките нарушения – основният размер на санкцията е до 200 000 лв.</w:t>
      </w:r>
    </w:p>
    <w:p w:rsidR="006828C9" w:rsidRPr="009E29E8" w:rsidRDefault="006828C9" w:rsidP="00557282">
      <w:pPr>
        <w:ind w:firstLine="708"/>
      </w:pPr>
      <w:r w:rsidRPr="009E29E8">
        <w:t>(7) Оценката на тежестта на нарушението се извършва за всеки конкретен случай, като се вземат предвид всички релевантни обстоятелства, като географски обхват на нарушението, общият пазарен дял на предприятията, участници в нарушението, на съответния и/или на засегнатия пазар, степента на засягане на конкуренцията на съответния и свързаните пазари и други обстоятелства, според случая:</w:t>
      </w:r>
    </w:p>
    <w:p w:rsidR="006828C9" w:rsidRPr="009E29E8" w:rsidRDefault="006828C9" w:rsidP="00557282">
      <w:pPr>
        <w:ind w:firstLine="708"/>
      </w:pPr>
      <w:r w:rsidRPr="009E29E8">
        <w:t xml:space="preserve">1. за леки нарушения се считат случаите на вертикални ограничения на конкуренцията, които обхващат малък географски район или засягат ограничен кръг предприятия или потребители, както и експлоатативните злоупотреби с господстващо положение, които обхващат относително малък географски район или засягат интересите на ограничен кръг потребители; </w:t>
      </w:r>
    </w:p>
    <w:p w:rsidR="006828C9" w:rsidRPr="009E29E8" w:rsidRDefault="006828C9" w:rsidP="00557282">
      <w:pPr>
        <w:ind w:firstLine="708"/>
      </w:pPr>
      <w:r w:rsidRPr="009E29E8">
        <w:t>2. за не особено тежки нарушения се считат хоризонталните ограничения на конкуренцията, които не са „картели“, вертикалните ограничения на конкуренцията, експлоатативните злоупотреби с господстващо положение, както и стратегическите злоупотреби с господстващо положение, които не водят или не биха могли да доведат до затваряне на пазара или до изключване на конкуренти от пазара;</w:t>
      </w:r>
    </w:p>
    <w:p w:rsidR="006828C9" w:rsidRPr="009E29E8" w:rsidRDefault="006828C9" w:rsidP="00557282">
      <w:pPr>
        <w:ind w:firstLine="708"/>
      </w:pPr>
      <w:r w:rsidRPr="009E29E8">
        <w:t>3. за тежки се считат тези нарушения, които оказват или биха могли да окажат значително и трайно във времето въздействие върху конкурентната среда на съществена част от националния пазар (§ 1, т. 16 от ДР на ЗЗК); такива са случаите на картели, както и повечето случаи на стратегически злоупотреби с господстващо положение.</w:t>
      </w:r>
    </w:p>
    <w:p w:rsidR="006828C9" w:rsidRPr="009E29E8" w:rsidRDefault="006828C9" w:rsidP="00557282">
      <w:pPr>
        <w:ind w:firstLine="708"/>
      </w:pPr>
      <w:r w:rsidRPr="009E29E8">
        <w:t>(8) Продължителността на нарушението се оценява от КЗК, като основният размер на санкцията се умножава с коефициент за продължителност:</w:t>
      </w:r>
    </w:p>
    <w:p w:rsidR="006828C9" w:rsidRPr="009E29E8" w:rsidRDefault="006828C9" w:rsidP="00557282">
      <w:pPr>
        <w:ind w:firstLine="708"/>
      </w:pPr>
      <w:r w:rsidRPr="009E29E8">
        <w:t xml:space="preserve">1. за нарушения с продължителност под една година – коефициентът за продължителност е равен на 1; </w:t>
      </w:r>
    </w:p>
    <w:p w:rsidR="006828C9" w:rsidRPr="009E29E8" w:rsidRDefault="006828C9" w:rsidP="00557282">
      <w:pPr>
        <w:ind w:firstLine="708"/>
      </w:pPr>
      <w:r w:rsidRPr="009E29E8">
        <w:t>2. за нарушения с продължителност над една година – коефициентът за продължителност е равен на броя на годините на участие на предприятието/сдружението на предприятия в нарушението, като периоди на участие, по-кратки от шест месеца, ще се отчитат от КЗК за половин година, а периоди, по-дълги от шест месеца, но по-къси от една година, ще се отчитат за пълна година.</w:t>
      </w:r>
    </w:p>
    <w:p w:rsidR="006828C9" w:rsidRPr="00187535" w:rsidRDefault="006828C9" w:rsidP="00187535">
      <w:pPr>
        <w:spacing w:before="120"/>
        <w:jc w:val="center"/>
        <w:rPr>
          <w:i/>
          <w:iCs/>
        </w:rPr>
      </w:pPr>
      <w:r w:rsidRPr="009E29E8">
        <w:rPr>
          <w:i/>
          <w:iCs/>
        </w:rPr>
        <w:t>Отегчаващи или смекчаващи отговорността обстоятелства</w:t>
      </w:r>
    </w:p>
    <w:p w:rsidR="006828C9" w:rsidRPr="009E29E8" w:rsidRDefault="006828C9" w:rsidP="00557282">
      <w:pPr>
        <w:ind w:firstLine="708"/>
      </w:pPr>
      <w:r w:rsidRPr="009E29E8">
        <w:rPr>
          <w:b/>
          <w:bCs/>
        </w:rPr>
        <w:t>Чл. 10.</w:t>
      </w:r>
      <w:r w:rsidRPr="009E29E8">
        <w:t xml:space="preserve"> Отегчаващи обстоятелства:</w:t>
      </w:r>
    </w:p>
    <w:p w:rsidR="006828C9" w:rsidRPr="009E29E8" w:rsidRDefault="006828C9" w:rsidP="00557282">
      <w:pPr>
        <w:ind w:firstLine="708"/>
      </w:pPr>
      <w:r w:rsidRPr="009E29E8">
        <w:t>1. в случаите на извършване на същото или подобно нарушение, установено от КЗК, друг национален орган по конкуренцията на държава – членка на ЕС или ЕК, основният размер на санкцията може да бъде увеличен с до 100 % за всяко установено такова нарушение;</w:t>
      </w:r>
    </w:p>
    <w:p w:rsidR="006828C9" w:rsidRPr="009E29E8" w:rsidRDefault="006828C9" w:rsidP="00557282">
      <w:pPr>
        <w:ind w:firstLine="708"/>
      </w:pPr>
      <w:r w:rsidRPr="009E29E8">
        <w:lastRenderedPageBreak/>
        <w:t>2. в случаите, когато предприятието/сдружението на предприятия е играло роля на инициатор, лидер или подбудител за извършване на нарушението или е упражнявало принуда спрямо други предприятия да се включат в нарушението, основният размер на санкцията може да бъде увеличен с 25 %;</w:t>
      </w:r>
    </w:p>
    <w:p w:rsidR="006828C9" w:rsidRPr="009E29E8" w:rsidRDefault="006828C9" w:rsidP="00557282">
      <w:pPr>
        <w:ind w:firstLine="708"/>
      </w:pPr>
      <w:r w:rsidRPr="009E29E8">
        <w:t>3. основният размер на санкцията може да бъде увеличен с по 10 % за всяко установено отегчаващо отговорността обстоятелство, като например:</w:t>
      </w:r>
    </w:p>
    <w:p w:rsidR="006828C9" w:rsidRPr="009E29E8" w:rsidRDefault="006828C9" w:rsidP="00557282">
      <w:pPr>
        <w:ind w:firstLine="708"/>
      </w:pPr>
      <w:r w:rsidRPr="009E29E8">
        <w:t xml:space="preserve">а) неоказване на съдействие или възпрепятстване на КЗК при извършване на нейното проучване или противопоставяне на проучването; </w:t>
      </w:r>
    </w:p>
    <w:p w:rsidR="006828C9" w:rsidRPr="009E29E8" w:rsidRDefault="006828C9" w:rsidP="00557282">
      <w:pPr>
        <w:ind w:firstLine="708"/>
      </w:pPr>
      <w:r w:rsidRPr="009E29E8">
        <w:t>б) предлагане или даване на „обезщетение“ или „компенсация“ на други предприятия за включването им в нарушението;</w:t>
      </w:r>
    </w:p>
    <w:p w:rsidR="006828C9" w:rsidRPr="009E29E8" w:rsidRDefault="006828C9" w:rsidP="00557282">
      <w:pPr>
        <w:ind w:firstLine="708"/>
      </w:pPr>
      <w:r w:rsidRPr="009E29E8">
        <w:t>в) други в зависимост от конкретния случай.</w:t>
      </w:r>
    </w:p>
    <w:p w:rsidR="006828C9" w:rsidRPr="009E29E8" w:rsidRDefault="006828C9" w:rsidP="00557282">
      <w:pPr>
        <w:ind w:firstLine="708"/>
      </w:pPr>
      <w:r w:rsidRPr="009E29E8">
        <w:rPr>
          <w:b/>
          <w:bCs/>
        </w:rPr>
        <w:t>Чл. 11.</w:t>
      </w:r>
      <w:r w:rsidRPr="009E29E8">
        <w:t xml:space="preserve"> Смекчаващи обстоятелства: основният размер на санкцията може да бъде намален с по 10 % за всяко установено смекчаващо отговорността обстоятелство, като например:</w:t>
      </w:r>
    </w:p>
    <w:p w:rsidR="006828C9" w:rsidRPr="009E29E8" w:rsidRDefault="006828C9" w:rsidP="00557282">
      <w:pPr>
        <w:ind w:firstLine="708"/>
      </w:pPr>
      <w:r w:rsidRPr="009E29E8">
        <w:t xml:space="preserve">1. прекратяване на нарушението веднага след намесата на КЗК, като това обстоятелство не се прилага в случаите на картели; </w:t>
      </w:r>
    </w:p>
    <w:p w:rsidR="006828C9" w:rsidRPr="009E29E8" w:rsidRDefault="006828C9" w:rsidP="00557282">
      <w:pPr>
        <w:ind w:firstLine="708"/>
      </w:pPr>
      <w:r w:rsidRPr="009E29E8">
        <w:t>2. пасивно поведение на предприятието или сдружението, изпълняване на твърде ограничена роля в нарушението или възприемане на стратегията „следване на лидера“;</w:t>
      </w:r>
    </w:p>
    <w:p w:rsidR="006828C9" w:rsidRPr="009E29E8" w:rsidRDefault="006828C9" w:rsidP="00557282">
      <w:pPr>
        <w:ind w:firstLine="708"/>
      </w:pPr>
      <w:r w:rsidRPr="009E29E8">
        <w:t>3. оказване на ефективно съдействие на КЗК извън обхвата на програмата за освобождаване от санкция или намаляване на санкция и задължението за съдействие по ЗЗК;</w:t>
      </w:r>
    </w:p>
    <w:p w:rsidR="006828C9" w:rsidRPr="009E29E8" w:rsidRDefault="006828C9" w:rsidP="00557282">
      <w:pPr>
        <w:ind w:firstLine="708"/>
      </w:pPr>
      <w:r w:rsidRPr="009E29E8">
        <w:t xml:space="preserve">4. предприемане на мерки за ограничаване на вредните последици от нарушението, като например предоставяне на доброволно, своевременно и съразмерно обезщетение на засегнати субекти за причинените им вреди; </w:t>
      </w:r>
    </w:p>
    <w:p w:rsidR="006828C9" w:rsidRPr="009E29E8" w:rsidRDefault="006828C9" w:rsidP="00557282">
      <w:pPr>
        <w:ind w:firstLine="708"/>
      </w:pPr>
      <w:r w:rsidRPr="009E29E8">
        <w:t>5. други в зависимост от конкретния случай.</w:t>
      </w:r>
    </w:p>
    <w:p w:rsidR="006828C9" w:rsidRPr="009E29E8" w:rsidRDefault="006828C9" w:rsidP="00187535">
      <w:pPr>
        <w:spacing w:before="120"/>
        <w:jc w:val="center"/>
        <w:rPr>
          <w:i/>
          <w:iCs/>
        </w:rPr>
      </w:pPr>
      <w:r w:rsidRPr="009E29E8">
        <w:rPr>
          <w:i/>
          <w:iCs/>
        </w:rPr>
        <w:t>Увеличение за възпиращ ефект</w:t>
      </w:r>
    </w:p>
    <w:p w:rsidR="006828C9" w:rsidRPr="009E29E8" w:rsidRDefault="006828C9" w:rsidP="00557282">
      <w:pPr>
        <w:ind w:firstLine="708"/>
      </w:pPr>
      <w:r w:rsidRPr="009E29E8">
        <w:rPr>
          <w:b/>
          <w:bCs/>
        </w:rPr>
        <w:t>Чл. 12.</w:t>
      </w:r>
      <w:r w:rsidRPr="009E29E8">
        <w:t xml:space="preserve"> (1) Санкцията за предприятие или сдружение на предприятия, извършило нарушение по чл. 101 или 102 от ДФЕС, се определя от КЗК с увеличение за възпиращ ефект до 25 % от основния размер. </w:t>
      </w:r>
    </w:p>
    <w:p w:rsidR="006828C9" w:rsidRPr="009E29E8" w:rsidRDefault="006828C9" w:rsidP="00557282">
      <w:pPr>
        <w:ind w:firstLine="708"/>
      </w:pPr>
      <w:r w:rsidRPr="009E29E8">
        <w:t>(2) С оглед необходимостта да се гарантира, че санкциите имат достатъчен възпиращ ефект, комисията може да увеличи с до 25 % основния размер на санкцията, наложена на предприятия, когато:</w:t>
      </w:r>
    </w:p>
    <w:p w:rsidR="006828C9" w:rsidRPr="009E29E8" w:rsidRDefault="006828C9" w:rsidP="00557282">
      <w:pPr>
        <w:ind w:firstLine="708"/>
      </w:pPr>
      <w:r w:rsidRPr="009E29E8">
        <w:t xml:space="preserve">1. предприятията имат приходи от друга дейност, които надвишават със 100 % приходите от продажби на продукти (стоки, услуги или продукция), които са пряко или косвено засегнати или биха могли да бъдат засегнати от нарушението, или </w:t>
      </w:r>
    </w:p>
    <w:p w:rsidR="006828C9" w:rsidRPr="009E29E8" w:rsidRDefault="006828C9" w:rsidP="00557282">
      <w:pPr>
        <w:ind w:firstLine="708"/>
      </w:pPr>
      <w:r w:rsidRPr="009E29E8">
        <w:t xml:space="preserve">2. когато размерът на приходите, постигнати в резултат на нарушението (в случай че могат да бъдат изчислени), надвишават със 100 % определената от комисията санкция. </w:t>
      </w:r>
    </w:p>
    <w:p w:rsidR="006828C9" w:rsidRPr="009E29E8" w:rsidRDefault="006828C9" w:rsidP="00187535">
      <w:pPr>
        <w:spacing w:before="120"/>
        <w:jc w:val="center"/>
        <w:rPr>
          <w:i/>
          <w:iCs/>
        </w:rPr>
      </w:pPr>
      <w:r w:rsidRPr="009E29E8">
        <w:rPr>
          <w:i/>
          <w:iCs/>
        </w:rPr>
        <w:t>Законов максимум на санкцията за предприятие</w:t>
      </w:r>
    </w:p>
    <w:p w:rsidR="006828C9" w:rsidRPr="009E29E8" w:rsidRDefault="006828C9" w:rsidP="00557282">
      <w:pPr>
        <w:ind w:firstLine="708"/>
      </w:pPr>
      <w:r w:rsidRPr="009E29E8">
        <w:rPr>
          <w:b/>
          <w:bCs/>
        </w:rPr>
        <w:t>Чл. 13.</w:t>
      </w:r>
      <w:r w:rsidRPr="009E29E8">
        <w:t xml:space="preserve"> (1) Ако размерът на санкцията превиши максималния законов размер от 10 % от общия оборот на предприятието или от сумата на общия оборот на всеки член на сдружението на предприятия, който развива дейност на пазара, засегнат от нарушението, за предходната финансова година, санкцията се намалява до законовия максимум.</w:t>
      </w:r>
    </w:p>
    <w:p w:rsidR="006828C9" w:rsidRPr="009E29E8" w:rsidRDefault="006828C9" w:rsidP="00557282">
      <w:pPr>
        <w:ind w:firstLine="708"/>
      </w:pPr>
      <w:r w:rsidRPr="009E29E8">
        <w:lastRenderedPageBreak/>
        <w:t xml:space="preserve">(2) Под общ оборот следва да се има предвид общият световен оборот на предприятието или сдружението на предприятия. </w:t>
      </w:r>
    </w:p>
    <w:p w:rsidR="006828C9" w:rsidRPr="009E29E8" w:rsidRDefault="006828C9" w:rsidP="00557282">
      <w:pPr>
        <w:ind w:firstLine="708"/>
      </w:pPr>
      <w:r w:rsidRPr="009E29E8">
        <w:t>(3) Световен е оборотът, реализиран от предприятието на всички територии, на които развива дейност.</w:t>
      </w:r>
    </w:p>
    <w:p w:rsidR="006828C9" w:rsidRPr="009E29E8" w:rsidRDefault="006828C9" w:rsidP="00187535">
      <w:pPr>
        <w:spacing w:before="120"/>
        <w:jc w:val="center"/>
        <w:rPr>
          <w:i/>
          <w:iCs/>
        </w:rPr>
      </w:pPr>
      <w:r w:rsidRPr="009E29E8">
        <w:rPr>
          <w:i/>
          <w:iCs/>
        </w:rPr>
        <w:t>Отговорност на лице, упражняващо контрол и презумпция за решаващо влияние</w:t>
      </w:r>
    </w:p>
    <w:p w:rsidR="006828C9" w:rsidRPr="009E29E8" w:rsidRDefault="006828C9" w:rsidP="00557282">
      <w:pPr>
        <w:ind w:firstLine="708"/>
      </w:pPr>
      <w:r w:rsidRPr="009E29E8">
        <w:rPr>
          <w:b/>
          <w:bCs/>
        </w:rPr>
        <w:t>Чл. 14.</w:t>
      </w:r>
      <w:r w:rsidRPr="009E29E8">
        <w:t xml:space="preserve"> (1) Имуществените санкции за нарушение по чл. 15 или 21 от ЗЗК или по чл. 101 и 102 от ДФЕС съгласно ал. 14 на чл. 100 от ЗЗК могат да бъдат наложени с решение на комисията на лице, което пряко или чрез други лица упражнява контрол върху предприятието нарушител.</w:t>
      </w:r>
    </w:p>
    <w:p w:rsidR="006828C9" w:rsidRPr="009E29E8" w:rsidRDefault="006828C9" w:rsidP="00557282">
      <w:pPr>
        <w:ind w:firstLine="708"/>
      </w:pPr>
      <w:r w:rsidRPr="009E29E8">
        <w:t>(2) За тази цел не е необходимо лицето, което упражнява контрол върху предприятието нарушител, да е знаело или участвало в извършеното нарушение.</w:t>
      </w:r>
    </w:p>
    <w:p w:rsidR="006828C9" w:rsidRPr="009E29E8" w:rsidRDefault="006828C9" w:rsidP="00557282">
      <w:pPr>
        <w:ind w:firstLine="708"/>
      </w:pPr>
      <w:r w:rsidRPr="009E29E8">
        <w:t>(3) Едно лице упражнява контрол върху предприятието нарушител, когато въз основа на икономическите, организационните и правните връзки между тях може да се установи, че:</w:t>
      </w:r>
    </w:p>
    <w:p w:rsidR="006828C9" w:rsidRPr="009E29E8" w:rsidRDefault="006828C9" w:rsidP="00557282">
      <w:pPr>
        <w:ind w:firstLine="708"/>
      </w:pPr>
      <w:r w:rsidRPr="009E29E8">
        <w:t>1. лицето има решаващо влияние върху предприятието нарушител, и</w:t>
      </w:r>
    </w:p>
    <w:p w:rsidR="006828C9" w:rsidRPr="009E29E8" w:rsidRDefault="006828C9" w:rsidP="00557282">
      <w:pPr>
        <w:ind w:firstLine="708"/>
      </w:pPr>
      <w:r w:rsidRPr="009E29E8">
        <w:t>2. лицето действително е упражнило това влияние.</w:t>
      </w:r>
    </w:p>
    <w:p w:rsidR="006828C9" w:rsidRPr="009E29E8" w:rsidRDefault="006828C9" w:rsidP="00557282">
      <w:pPr>
        <w:ind w:firstLine="708"/>
      </w:pPr>
      <w:r w:rsidRPr="009E29E8">
        <w:t xml:space="preserve">(4) Хипотезата на ал. 3 се прилага и по отношение на участниците в обединение, когато нарушителят представлява обединение от две или повече предприятия, независимо от правната му форма. </w:t>
      </w:r>
    </w:p>
    <w:p w:rsidR="006828C9" w:rsidRPr="009E29E8" w:rsidRDefault="006828C9" w:rsidP="00557282">
      <w:pPr>
        <w:ind w:firstLine="708"/>
      </w:pPr>
      <w:r w:rsidRPr="009E29E8">
        <w:t xml:space="preserve">(5) Когато едно лице притежава над 90 % участие в капитала на предприятието нарушител, се приема, че е налице решаващо влияние и не е необходимо да се доказва упражняването му. Това не изключва възможността това лице да докаже, че в конкретния случай същото не е упражнявало решаващо влияние върху предприятието нарушител. </w:t>
      </w:r>
    </w:p>
    <w:p w:rsidR="006828C9" w:rsidRPr="009E29E8" w:rsidRDefault="006828C9" w:rsidP="00187535">
      <w:pPr>
        <w:spacing w:before="120"/>
        <w:jc w:val="center"/>
        <w:rPr>
          <w:i/>
          <w:iCs/>
        </w:rPr>
      </w:pPr>
      <w:r w:rsidRPr="009E29E8">
        <w:rPr>
          <w:i/>
          <w:iCs/>
        </w:rPr>
        <w:t xml:space="preserve">Налагане на санкция на правоприемник </w:t>
      </w:r>
    </w:p>
    <w:p w:rsidR="006828C9" w:rsidRPr="009E29E8" w:rsidRDefault="006828C9" w:rsidP="00557282">
      <w:pPr>
        <w:ind w:firstLine="708"/>
      </w:pPr>
      <w:r w:rsidRPr="009E29E8">
        <w:rPr>
          <w:b/>
          <w:bCs/>
        </w:rPr>
        <w:t>Чл. 15.</w:t>
      </w:r>
      <w:r w:rsidRPr="009E29E8">
        <w:t xml:space="preserve"> (1) Имуществените санкции за нарушение по чл. 15 или 21 от ЗЗК или по чл. 101 и 102 от ДФЕС съгласно ал. 14 на чл. 100 от ЗЗК могат да бъдат наложени от комисията на правоприемник на нарушителя, ако се установи, че:</w:t>
      </w:r>
    </w:p>
    <w:p w:rsidR="006828C9" w:rsidRPr="009E29E8" w:rsidRDefault="006828C9" w:rsidP="00557282">
      <w:pPr>
        <w:ind w:firstLine="708"/>
      </w:pPr>
      <w:r w:rsidRPr="009E29E8">
        <w:t>1. предприятието нарушител е престанало да съществува като юридически субект вследствие на преобразуване, или</w:t>
      </w:r>
    </w:p>
    <w:p w:rsidR="006828C9" w:rsidRPr="009E29E8" w:rsidRDefault="006828C9" w:rsidP="00557282">
      <w:pPr>
        <w:ind w:firstLine="708"/>
      </w:pPr>
      <w:r w:rsidRPr="009E29E8">
        <w:t xml:space="preserve">2. предприятието нарушител прехвърли дейността, с която е извършено нарушението, или тя започне да се извършва от друг оператор при обстоятелства, които попадат извън обичайните пазарни условия и които могат да бъдат обяснени единствено с опит да бъде избегната отговорност за извършените нарушения. </w:t>
      </w:r>
    </w:p>
    <w:p w:rsidR="006828C9" w:rsidRPr="009E29E8" w:rsidRDefault="006828C9" w:rsidP="00557282">
      <w:pPr>
        <w:ind w:firstLine="708"/>
      </w:pPr>
      <w:r w:rsidRPr="009E29E8">
        <w:t xml:space="preserve">(2) В случай че горните обстоятелства се установят в хода на производството, комисията налага имуществените санкции на правоприемник с решение на основание чл. 60, ал. 1, т. 3 във връзка с чл. 77, ал. 1, т. 2 от ЗЗК. </w:t>
      </w:r>
    </w:p>
    <w:p w:rsidR="006828C9" w:rsidRPr="009E29E8" w:rsidRDefault="006828C9" w:rsidP="006828C9">
      <w:pPr>
        <w:spacing w:before="120" w:after="120"/>
        <w:jc w:val="center"/>
      </w:pPr>
      <w:r w:rsidRPr="009E29E8">
        <w:t>IІІ. ОПРЕДЕЛЯНЕ НА ИМУЩЕСТВЕНИТЕ САНКЦИИ ЗА НАРУШЕНИЯ ПО ГЛАВА ПЕТА ОТ ЗЗК</w:t>
      </w:r>
    </w:p>
    <w:p w:rsidR="006828C9" w:rsidRPr="009E29E8" w:rsidRDefault="006828C9" w:rsidP="00557282">
      <w:pPr>
        <w:ind w:firstLine="708"/>
      </w:pPr>
      <w:r w:rsidRPr="009E29E8">
        <w:rPr>
          <w:b/>
          <w:bCs/>
        </w:rPr>
        <w:t>Чл. 16.</w:t>
      </w:r>
      <w:r w:rsidRPr="009E29E8">
        <w:t xml:space="preserve"> Имуществените санкции за нарушенията по чл. 100, ал. 1, т. 2 – 5 от ЗЗК се определят въз основа на общия оборот на предприятието, изчислен по реда на чл. 25, ал. 4 от ЗЗК, в зависимост от тежестта на нарушението, както следва:</w:t>
      </w:r>
    </w:p>
    <w:p w:rsidR="006828C9" w:rsidRPr="009E29E8" w:rsidRDefault="006828C9" w:rsidP="00557282">
      <w:pPr>
        <w:ind w:firstLine="708"/>
      </w:pPr>
      <w:r w:rsidRPr="009E29E8">
        <w:t>1. за леки нарушения – до 5 % от общия оборот на нарушителя;</w:t>
      </w:r>
    </w:p>
    <w:p w:rsidR="006828C9" w:rsidRPr="009E29E8" w:rsidRDefault="006828C9" w:rsidP="00557282">
      <w:pPr>
        <w:ind w:firstLine="708"/>
      </w:pPr>
      <w:r w:rsidRPr="009E29E8">
        <w:lastRenderedPageBreak/>
        <w:t>2. за не особено тежки нарушения – до 7 % от общия оборот на нарушителя;</w:t>
      </w:r>
    </w:p>
    <w:p w:rsidR="006828C9" w:rsidRPr="009E29E8" w:rsidRDefault="006828C9" w:rsidP="00557282">
      <w:pPr>
        <w:ind w:firstLine="708"/>
      </w:pPr>
      <w:r w:rsidRPr="009E29E8">
        <w:t>3. за тежки нарушения – до 10 % от общия оборот на нарушителя.</w:t>
      </w:r>
    </w:p>
    <w:p w:rsidR="006828C9" w:rsidRPr="009E29E8" w:rsidRDefault="006828C9" w:rsidP="00557282">
      <w:pPr>
        <w:ind w:firstLine="708"/>
      </w:pPr>
      <w:r w:rsidRPr="009E29E8">
        <w:rPr>
          <w:b/>
          <w:bCs/>
        </w:rPr>
        <w:t>Чл. 17.</w:t>
      </w:r>
      <w:r w:rsidRPr="009E29E8">
        <w:t xml:space="preserve"> (1) Тежестта на нарушението се оценява от КЗК на индивидуална основа, като се вземат предвид всички релевантни обстоятелства на конкретния случай, като:</w:t>
      </w:r>
    </w:p>
    <w:p w:rsidR="006828C9" w:rsidRPr="009E29E8" w:rsidRDefault="006828C9" w:rsidP="00557282">
      <w:pPr>
        <w:ind w:firstLine="708"/>
      </w:pPr>
      <w:r w:rsidRPr="009E29E8">
        <w:t xml:space="preserve">1. леки са нарушенията, които не са довели и не биха довели до промяна в структурата на пазара от гледна точка на търсенето и предлагането; такива операции биха били разрешени безусловно от комисията, ако бяха своевременно нотифицирани; </w:t>
      </w:r>
    </w:p>
    <w:p w:rsidR="006828C9" w:rsidRPr="009E29E8" w:rsidRDefault="006828C9" w:rsidP="00557282">
      <w:pPr>
        <w:ind w:firstLine="708"/>
      </w:pPr>
      <w:r w:rsidRPr="009E29E8">
        <w:t>2. не особено тежки са нарушенията, които не са породили съществени промени в конкурентната среда на съответен пазар и не са ограничили ефективната конкуренция; КЗК вероятно би разрешила концентрацията, ако беше нотифицирана;</w:t>
      </w:r>
    </w:p>
    <w:p w:rsidR="006828C9" w:rsidRPr="009E29E8" w:rsidRDefault="006828C9" w:rsidP="00557282">
      <w:pPr>
        <w:ind w:firstLine="708"/>
      </w:pPr>
      <w:r w:rsidRPr="009E29E8">
        <w:t>3. тежки са нарушенията, които са довели или биха довели до значителна промяна в структурата на пазара от гледна точка на търсенето и предлагането и са въздействали или биха въздействали отрицателно върху ефективната конкуренция на съответен пазар; това са концентрации, които КЗК би разрешила при определени условия или би ги забранила.</w:t>
      </w:r>
    </w:p>
    <w:p w:rsidR="006828C9" w:rsidRPr="009E29E8" w:rsidRDefault="006828C9" w:rsidP="00557282">
      <w:pPr>
        <w:ind w:firstLine="708"/>
      </w:pPr>
      <w:r w:rsidRPr="009E29E8">
        <w:t>(2) Преценката относно тежестта се прави въз основа на следните фактори:</w:t>
      </w:r>
    </w:p>
    <w:p w:rsidR="006828C9" w:rsidRPr="009E29E8" w:rsidRDefault="006828C9" w:rsidP="00557282">
      <w:pPr>
        <w:ind w:firstLine="708"/>
      </w:pPr>
      <w:r w:rsidRPr="009E29E8">
        <w:t>1. пазарното положение на предприятията участници преди и след концентрацията, като се преценява дали в резултат на концентрацията предприятието ще установи, или засили господстващото си положение;</w:t>
      </w:r>
    </w:p>
    <w:p w:rsidR="006828C9" w:rsidRPr="009E29E8" w:rsidRDefault="006828C9" w:rsidP="00557282">
      <w:pPr>
        <w:ind w:firstLine="708"/>
      </w:pPr>
      <w:r w:rsidRPr="009E29E8">
        <w:t>2. структурата на пазара и настъпили в резултат от концентрацията промени; по-специално, намалял ли е броят на конкурентите;</w:t>
      </w:r>
    </w:p>
    <w:p w:rsidR="006828C9" w:rsidRPr="009E29E8" w:rsidRDefault="006828C9" w:rsidP="00557282">
      <w:pPr>
        <w:ind w:firstLine="708"/>
      </w:pPr>
      <w:r w:rsidRPr="009E29E8">
        <w:t>3. отражение на концентрацията върху поведението на останалите участници на пазара; по-конкретно, довела ли е концентрацията до установяване или засилване на координационни ефекти между участниците на съответните пазари;</w:t>
      </w:r>
    </w:p>
    <w:p w:rsidR="006828C9" w:rsidRPr="009E29E8" w:rsidRDefault="006828C9" w:rsidP="00557282">
      <w:pPr>
        <w:ind w:firstLine="708"/>
      </w:pPr>
      <w:r w:rsidRPr="009E29E8">
        <w:t>4. промяна на условията на търсене и предлагане на съответния пазар в резултат от концентрацията, включително по отношение на достъп до снабдяване и до пазари за реализация на съответните стоки и услуги;</w:t>
      </w:r>
    </w:p>
    <w:p w:rsidR="006828C9" w:rsidRPr="009E29E8" w:rsidRDefault="006828C9" w:rsidP="00557282">
      <w:pPr>
        <w:ind w:firstLine="708"/>
      </w:pPr>
      <w:r w:rsidRPr="009E29E8">
        <w:t>5. повишават ли се бариерите за навлизане на съответния пазар вследствие на концентрацията;</w:t>
      </w:r>
    </w:p>
    <w:p w:rsidR="006828C9" w:rsidRPr="009E29E8" w:rsidRDefault="006828C9" w:rsidP="00557282">
      <w:pPr>
        <w:ind w:firstLine="708"/>
      </w:pPr>
      <w:r w:rsidRPr="009E29E8">
        <w:t>6. промяна в качеството и цените на предлаганите стоки и услуги от участниците в концентрацията и другите предприятия на пазара; дали са повишени съществено и трайно цените, с което се засягат ефективната конкуренция и потребителите;</w:t>
      </w:r>
    </w:p>
    <w:p w:rsidR="006828C9" w:rsidRPr="009E29E8" w:rsidRDefault="006828C9" w:rsidP="00557282">
      <w:pPr>
        <w:ind w:firstLine="708"/>
      </w:pPr>
      <w:r w:rsidRPr="009E29E8">
        <w:t>7. продължителност на нарушението.</w:t>
      </w:r>
    </w:p>
    <w:p w:rsidR="006828C9" w:rsidRPr="009E29E8" w:rsidRDefault="006828C9" w:rsidP="00557282">
      <w:pPr>
        <w:ind w:firstLine="708"/>
      </w:pPr>
      <w:r w:rsidRPr="009E29E8">
        <w:rPr>
          <w:b/>
          <w:bCs/>
        </w:rPr>
        <w:t>Чл. 18.</w:t>
      </w:r>
      <w:r w:rsidRPr="009E29E8">
        <w:t xml:space="preserve"> (1) Независимо от тежестта и продължителността на нарушението при определяне на санкцията следва да се отчитат и смекчаващи и отегчаващи отговорността за извършеното нарушение обстоятелства, които намаляват или увеличават размера на санкцията. </w:t>
      </w:r>
    </w:p>
    <w:p w:rsidR="006828C9" w:rsidRPr="009E29E8" w:rsidRDefault="006828C9" w:rsidP="00557282">
      <w:pPr>
        <w:ind w:firstLine="708"/>
      </w:pPr>
      <w:r w:rsidRPr="009E29E8">
        <w:t xml:space="preserve">(2) Отегчаващи отговорността обстоятелства могат да бъдат: </w:t>
      </w:r>
    </w:p>
    <w:p w:rsidR="006828C9" w:rsidRPr="009E29E8" w:rsidRDefault="006828C9" w:rsidP="00557282">
      <w:pPr>
        <w:ind w:firstLine="708"/>
      </w:pPr>
      <w:r w:rsidRPr="009E29E8">
        <w:t>1. повтарящо се нарушение от същия вид от същото/ите предприятие/я;</w:t>
      </w:r>
    </w:p>
    <w:p w:rsidR="006828C9" w:rsidRPr="009E29E8" w:rsidRDefault="006828C9" w:rsidP="00557282">
      <w:pPr>
        <w:ind w:firstLine="708"/>
      </w:pPr>
      <w:r w:rsidRPr="009E29E8">
        <w:t>2. отказ за съдействие или опити за препятстване проучването на комисията;</w:t>
      </w:r>
    </w:p>
    <w:p w:rsidR="006828C9" w:rsidRPr="009E29E8" w:rsidRDefault="006828C9" w:rsidP="00557282">
      <w:pPr>
        <w:ind w:firstLine="708"/>
      </w:pPr>
      <w:r w:rsidRPr="009E29E8">
        <w:t xml:space="preserve">3. други обстоятелства специфични за конкретното нарушение. </w:t>
      </w:r>
    </w:p>
    <w:p w:rsidR="006828C9" w:rsidRPr="009E29E8" w:rsidRDefault="006828C9" w:rsidP="00557282">
      <w:pPr>
        <w:ind w:firstLine="708"/>
      </w:pPr>
      <w:r w:rsidRPr="009E29E8">
        <w:lastRenderedPageBreak/>
        <w:t>(3) Смекчаващи отговорността за извършеното нарушение обстоятелства са например:</w:t>
      </w:r>
    </w:p>
    <w:p w:rsidR="006828C9" w:rsidRPr="009E29E8" w:rsidRDefault="006828C9" w:rsidP="00557282">
      <w:pPr>
        <w:ind w:firstLine="708"/>
      </w:pPr>
      <w:r w:rsidRPr="009E29E8">
        <w:t>1. нарушения, осъществени в резултат от пропуск или неумишлено;</w:t>
      </w:r>
    </w:p>
    <w:p w:rsidR="006828C9" w:rsidRPr="009E29E8" w:rsidRDefault="006828C9" w:rsidP="00557282">
      <w:pPr>
        <w:ind w:firstLine="708"/>
      </w:pPr>
      <w:r w:rsidRPr="009E29E8">
        <w:t>2. ефективно сътрудничество на предприятието в процеса на проучване;</w:t>
      </w:r>
    </w:p>
    <w:p w:rsidR="006828C9" w:rsidRPr="009E29E8" w:rsidRDefault="006828C9" w:rsidP="00557282">
      <w:pPr>
        <w:ind w:firstLine="708"/>
      </w:pPr>
      <w:r w:rsidRPr="009E29E8">
        <w:t>3. други обстоятелства в зависимост от конкретния случай.</w:t>
      </w:r>
    </w:p>
    <w:p w:rsidR="006828C9" w:rsidRPr="009E29E8" w:rsidRDefault="006828C9" w:rsidP="006828C9">
      <w:pPr>
        <w:spacing w:before="120" w:after="120"/>
        <w:jc w:val="center"/>
      </w:pPr>
      <w:r w:rsidRPr="009E29E8">
        <w:t>ІV. ОПРЕДЕЛЯНЕ НА ИМУЩЕСТВЕНИТЕ САНКЦИИ ЗА НАРУШЕНИЯ ПО ГЛАВА СЕДМА ОТ ЗЗК</w:t>
      </w:r>
    </w:p>
    <w:p w:rsidR="006828C9" w:rsidRPr="009E29E8" w:rsidRDefault="006828C9" w:rsidP="00557282">
      <w:pPr>
        <w:ind w:firstLine="708"/>
      </w:pPr>
      <w:r w:rsidRPr="009E29E8">
        <w:rPr>
          <w:b/>
          <w:bCs/>
        </w:rPr>
        <w:t>Чл. 19.</w:t>
      </w:r>
      <w:r w:rsidRPr="009E29E8">
        <w:t xml:space="preserve"> При определяне размера на санкцията по глава седма от ЗЗК КЗК взема предвид тежестта и продължителността на нарушението, както и смекчаващите и отегчаващите отговорността обстоятелства, като санкцията не може да превиши максималния размер, предвиден в ЗЗК.</w:t>
      </w:r>
    </w:p>
    <w:p w:rsidR="006828C9" w:rsidRPr="009E29E8" w:rsidRDefault="006828C9" w:rsidP="00557282">
      <w:pPr>
        <w:ind w:firstLine="708"/>
      </w:pPr>
      <w:r w:rsidRPr="009E29E8">
        <w:rPr>
          <w:b/>
          <w:bCs/>
        </w:rPr>
        <w:t>Чл. 20.</w:t>
      </w:r>
      <w:r w:rsidRPr="009E29E8">
        <w:t xml:space="preserve"> (1) Имуществената санкция се определя въз основа на размера на нетните приходи от продажби на предприятието нарушител, посочени в годишния финансов отчет.</w:t>
      </w:r>
    </w:p>
    <w:p w:rsidR="006828C9" w:rsidRPr="009E29E8" w:rsidRDefault="006828C9" w:rsidP="00557282">
      <w:pPr>
        <w:ind w:firstLine="708"/>
      </w:pPr>
      <w:r w:rsidRPr="009E29E8">
        <w:t>(2) Санкцията се определя въз основа на размера на нетните приходи от продажби по т. 20, реализиран през финансовата година, предхождаща постановяването на решението на КЗК.</w:t>
      </w:r>
    </w:p>
    <w:p w:rsidR="006828C9" w:rsidRPr="009E29E8" w:rsidRDefault="006828C9" w:rsidP="00557282">
      <w:pPr>
        <w:ind w:firstLine="708"/>
      </w:pPr>
      <w:r w:rsidRPr="009E29E8">
        <w:t>(3) В случаите, когато предприятието не е изготвило финансов отчет за предходната финансова година, се взема предвид последният заверен финансов отчет.</w:t>
      </w:r>
    </w:p>
    <w:p w:rsidR="006828C9" w:rsidRPr="009E29E8" w:rsidRDefault="006828C9" w:rsidP="00557282">
      <w:pPr>
        <w:ind w:firstLine="708"/>
      </w:pPr>
      <w:r w:rsidRPr="009E29E8">
        <w:t>(4) В случаите, когато предприятието е извършило нарушението преди приключване на първата финансова година от започване на дейност, се вземат предвид реализираните от него приходи от продажби за последния период преди постановяване на решението на КЗК, за който може да представи отчет.</w:t>
      </w:r>
    </w:p>
    <w:p w:rsidR="006828C9" w:rsidRPr="009E29E8" w:rsidRDefault="006828C9" w:rsidP="00557282">
      <w:pPr>
        <w:ind w:firstLine="708"/>
      </w:pPr>
      <w:r w:rsidRPr="009E29E8">
        <w:t>(5) Имуществените санкции за нарушенията по глава седма от ЗЗК се определят в основен размер в зависимост от тежестта и продължителността на нарушението, както следва:</w:t>
      </w:r>
    </w:p>
    <w:p w:rsidR="006828C9" w:rsidRPr="009E29E8" w:rsidRDefault="006828C9" w:rsidP="00557282">
      <w:pPr>
        <w:ind w:firstLine="708"/>
      </w:pPr>
      <w:r w:rsidRPr="009E29E8">
        <w:t>1. за леки нарушения – до 2 % от размера на нетните приходи от продажби по т. 20;</w:t>
      </w:r>
    </w:p>
    <w:p w:rsidR="006828C9" w:rsidRPr="009E29E8" w:rsidRDefault="006828C9" w:rsidP="00557282">
      <w:pPr>
        <w:ind w:firstLine="708"/>
      </w:pPr>
      <w:r w:rsidRPr="009E29E8">
        <w:t>2. за не особено тежки нарушения – до 5 % от размера на нетните приходи от продажби по т. 20;</w:t>
      </w:r>
    </w:p>
    <w:p w:rsidR="006828C9" w:rsidRPr="009E29E8" w:rsidRDefault="006828C9" w:rsidP="00557282">
      <w:pPr>
        <w:ind w:firstLine="708"/>
      </w:pPr>
      <w:r w:rsidRPr="009E29E8">
        <w:t>3. за тежки нарушения – до 10 % от размера на нетните приходи от продажби по т. 20.</w:t>
      </w:r>
    </w:p>
    <w:p w:rsidR="006828C9" w:rsidRPr="009E29E8" w:rsidRDefault="006828C9" w:rsidP="00557282">
      <w:pPr>
        <w:ind w:firstLine="708"/>
      </w:pPr>
      <w:r w:rsidRPr="009E29E8">
        <w:t>(6) В случаите, когато няма данни за реализирани нетни приходи от продажби на предприятието нарушител за предходната финансова година, с оглед особеностите на конкретния случай и в зависимост от тежестта на нарушението КЗК определя основен размер на санкцията, както следва:</w:t>
      </w:r>
    </w:p>
    <w:p w:rsidR="006828C9" w:rsidRPr="009E29E8" w:rsidRDefault="006828C9" w:rsidP="006828C9">
      <w:r w:rsidRPr="009E29E8">
        <w:t>1. за леки нарушения – до 10 000 лв.;</w:t>
      </w:r>
    </w:p>
    <w:p w:rsidR="006828C9" w:rsidRPr="009E29E8" w:rsidRDefault="006828C9" w:rsidP="006828C9">
      <w:r w:rsidRPr="009E29E8">
        <w:t>2. за не особено тежки нарушения – до 30 000 лв.;</w:t>
      </w:r>
    </w:p>
    <w:p w:rsidR="006828C9" w:rsidRPr="009E29E8" w:rsidRDefault="006828C9" w:rsidP="006828C9">
      <w:r w:rsidRPr="009E29E8">
        <w:t>3. за тежки нарушения – до 50 000 лв.</w:t>
      </w:r>
    </w:p>
    <w:p w:rsidR="006828C9" w:rsidRPr="009E29E8" w:rsidRDefault="006828C9" w:rsidP="00557282">
      <w:pPr>
        <w:ind w:firstLine="708"/>
      </w:pPr>
      <w:r w:rsidRPr="009E29E8">
        <w:t>(7) По смисъла на чл. 20, ал. 5 и 6:</w:t>
      </w:r>
    </w:p>
    <w:p w:rsidR="006828C9" w:rsidRPr="009E29E8" w:rsidRDefault="006828C9" w:rsidP="00557282">
      <w:pPr>
        <w:ind w:firstLine="708"/>
      </w:pPr>
      <w:r w:rsidRPr="009E29E8">
        <w:t>1. леки са нарушенията, извършени еднократно или в условията на продължителност, но за кратък период от време, при които неблагоприятните правни последици водят до минимален негативен ефект върху конкуренцията;</w:t>
      </w:r>
    </w:p>
    <w:p w:rsidR="006828C9" w:rsidRPr="009E29E8" w:rsidRDefault="006828C9" w:rsidP="00557282">
      <w:pPr>
        <w:ind w:firstLine="708"/>
      </w:pPr>
      <w:r w:rsidRPr="009E29E8">
        <w:t xml:space="preserve">2. не особено тежки са нарушенията, извършени еднократно или в условията на продължителност за сравнително дълъг период от време, при които </w:t>
      </w:r>
      <w:r w:rsidRPr="009E29E8">
        <w:lastRenderedPageBreak/>
        <w:t>неблагоприятните правни последици водят до по-значителен негативен ефект върху конкуренцията;</w:t>
      </w:r>
    </w:p>
    <w:p w:rsidR="006828C9" w:rsidRPr="009E29E8" w:rsidRDefault="006828C9" w:rsidP="00557282">
      <w:pPr>
        <w:ind w:firstLine="708"/>
      </w:pPr>
      <w:r w:rsidRPr="009E29E8">
        <w:t>3. тежки са нарушенията, извършени еднократно или в условията на продължителност за значителен период от време, при които неблагоприятните правни последици водят до съществен негативен ефект върху конкуренцията.</w:t>
      </w:r>
    </w:p>
    <w:p w:rsidR="006828C9" w:rsidRPr="009E29E8" w:rsidRDefault="006828C9" w:rsidP="00557282">
      <w:pPr>
        <w:ind w:firstLine="708"/>
      </w:pPr>
      <w:r w:rsidRPr="009E29E8">
        <w:rPr>
          <w:b/>
          <w:bCs/>
        </w:rPr>
        <w:t>Чл. 21.</w:t>
      </w:r>
      <w:r w:rsidRPr="009E29E8">
        <w:t xml:space="preserve"> При определяне размера на санкцията КЗК взема предвид следните смекчаващи и отегчаващи отговорността обстоятелства:</w:t>
      </w:r>
    </w:p>
    <w:p w:rsidR="006828C9" w:rsidRPr="009E29E8" w:rsidRDefault="006828C9" w:rsidP="00557282">
      <w:pPr>
        <w:ind w:firstLine="708"/>
      </w:pPr>
      <w:r w:rsidRPr="009E29E8">
        <w:t xml:space="preserve">1. Смекчаващи отговорността обстоятелства: </w:t>
      </w:r>
    </w:p>
    <w:p w:rsidR="006828C9" w:rsidRPr="009E29E8" w:rsidRDefault="006828C9" w:rsidP="00557282">
      <w:pPr>
        <w:ind w:firstLine="708"/>
      </w:pPr>
      <w:r w:rsidRPr="009E29E8">
        <w:t>а) предприемане на действия за преустановяване на нарушението веднага след намесата на КЗК или след сигнал от страна на засегнатите лица;</w:t>
      </w:r>
    </w:p>
    <w:p w:rsidR="006828C9" w:rsidRPr="009E29E8" w:rsidRDefault="006828C9" w:rsidP="00557282">
      <w:pPr>
        <w:ind w:firstLine="708"/>
      </w:pPr>
      <w:r w:rsidRPr="009E29E8">
        <w:t>б) предприемане на мерки за ограничаване на вредните последици от нарушението, като например предоставяне на доброволно, своевременно и съразмерно обезщетение на засегнатите субекти за причинените им вреди;</w:t>
      </w:r>
    </w:p>
    <w:p w:rsidR="006828C9" w:rsidRPr="009E29E8" w:rsidRDefault="006828C9" w:rsidP="00557282">
      <w:pPr>
        <w:ind w:firstLine="708"/>
      </w:pPr>
      <w:r w:rsidRPr="009E29E8">
        <w:t>в) действията на нарушителя са били провокирани от засегнатия от нарушението;</w:t>
      </w:r>
    </w:p>
    <w:p w:rsidR="006828C9" w:rsidRPr="009E29E8" w:rsidRDefault="006828C9" w:rsidP="00557282">
      <w:pPr>
        <w:ind w:firstLine="708"/>
      </w:pPr>
      <w:r w:rsidRPr="009E29E8">
        <w:t>г) незначителен размер на причинените в резултат на нарушението вреди или малка вероятност от настъпването им;</w:t>
      </w:r>
    </w:p>
    <w:p w:rsidR="006828C9" w:rsidRPr="009E29E8" w:rsidRDefault="006828C9" w:rsidP="00557282">
      <w:pPr>
        <w:ind w:firstLine="708"/>
      </w:pPr>
      <w:r w:rsidRPr="009E29E8">
        <w:t>д) активно съдействие от страна на нарушителя по време на разследването извън обхвата на задължението за съдействие по ЗЗК;</w:t>
      </w:r>
    </w:p>
    <w:p w:rsidR="006828C9" w:rsidRPr="009E29E8" w:rsidRDefault="006828C9" w:rsidP="00557282">
      <w:pPr>
        <w:ind w:firstLine="708"/>
      </w:pPr>
      <w:r w:rsidRPr="009E29E8">
        <w:t>е) други съобразно конкретния случай;</w:t>
      </w:r>
    </w:p>
    <w:p w:rsidR="006828C9" w:rsidRPr="009E29E8" w:rsidRDefault="006828C9" w:rsidP="00557282">
      <w:pPr>
        <w:ind w:firstLine="708"/>
      </w:pPr>
      <w:r w:rsidRPr="009E29E8">
        <w:t>2. отегчаващи отговорността обстоятелства:</w:t>
      </w:r>
    </w:p>
    <w:p w:rsidR="006828C9" w:rsidRPr="009E29E8" w:rsidRDefault="006828C9" w:rsidP="00557282">
      <w:pPr>
        <w:ind w:firstLine="708"/>
      </w:pPr>
      <w:r w:rsidRPr="009E29E8">
        <w:t>а) възпрепятстване проучването на комисията (нарушителят е прикрил самоличността си или адреса си);</w:t>
      </w:r>
    </w:p>
    <w:p w:rsidR="006828C9" w:rsidRPr="009E29E8" w:rsidRDefault="006828C9" w:rsidP="00557282">
      <w:pPr>
        <w:ind w:firstLine="708"/>
      </w:pPr>
      <w:r w:rsidRPr="009E29E8">
        <w:t xml:space="preserve">б) нарушителят извършва нарушение в едногодишен срок от влизане в сила на решение на комисията, с което е наказан за същото по вид нарушение – в този случай основният размер на санкцията може да се увеличи с до 100 % за всяко установено нарушение; </w:t>
      </w:r>
    </w:p>
    <w:p w:rsidR="006828C9" w:rsidRPr="009E29E8" w:rsidRDefault="006828C9" w:rsidP="00557282">
      <w:pPr>
        <w:ind w:firstLine="708"/>
      </w:pPr>
      <w:r w:rsidRPr="009E29E8">
        <w:t xml:space="preserve">в) нарушителят има сходни прояви в миналото (извършил е друго нарушение по глава седма от ЗЗК); </w:t>
      </w:r>
    </w:p>
    <w:p w:rsidR="006828C9" w:rsidRPr="009E29E8" w:rsidRDefault="006828C9" w:rsidP="00557282">
      <w:pPr>
        <w:ind w:firstLine="708"/>
      </w:pPr>
      <w:r w:rsidRPr="009E29E8">
        <w:t xml:space="preserve">г) нарушението създава опасност или уврежда живота или здравето на потребителите; </w:t>
      </w:r>
    </w:p>
    <w:p w:rsidR="006828C9" w:rsidRPr="009E29E8" w:rsidRDefault="006828C9" w:rsidP="00557282">
      <w:pPr>
        <w:ind w:firstLine="708"/>
      </w:pPr>
      <w:r w:rsidRPr="009E29E8">
        <w:t>д) последиците от нарушението обхващат широк кръг потребители (например при имитация на широко известен сред потребителите продукт, предназначен за масова употреба) или значителна част от пазара в географско отношение;</w:t>
      </w:r>
    </w:p>
    <w:p w:rsidR="006828C9" w:rsidRPr="009E29E8" w:rsidRDefault="006828C9" w:rsidP="00557282">
      <w:pPr>
        <w:ind w:firstLine="708"/>
      </w:pPr>
      <w:r w:rsidRPr="009E29E8">
        <w:t>е) други съобразно конкретния случай.</w:t>
      </w:r>
    </w:p>
    <w:p w:rsidR="006828C9" w:rsidRPr="009E29E8" w:rsidRDefault="006828C9" w:rsidP="006828C9">
      <w:pPr>
        <w:spacing w:before="120" w:after="120"/>
        <w:jc w:val="center"/>
      </w:pPr>
      <w:r w:rsidRPr="009E29E8">
        <w:t>V. ОПРЕДЕЛЯНЕ НА ИМУЩЕСТВЕНИТЕ САНКЦИИ ЗА НАРУШЕНИЯ ПО ГЛАВА СЕДМА „Б“ ОТ ЗЗК</w:t>
      </w:r>
    </w:p>
    <w:p w:rsidR="006828C9" w:rsidRPr="009E29E8" w:rsidRDefault="006828C9" w:rsidP="00557282">
      <w:pPr>
        <w:ind w:firstLine="708"/>
      </w:pPr>
      <w:r w:rsidRPr="009E29E8">
        <w:rPr>
          <w:b/>
          <w:bCs/>
        </w:rPr>
        <w:t>Чл. 22.</w:t>
      </w:r>
      <w:r w:rsidRPr="009E29E8">
        <w:t xml:space="preserve"> (1) При определяне размера на санкцията на купувач на селскостопански и хранителни продукти за нарушение на забраните по чл. 37б и 37в от ЗЗК комисията взема предвид тежестта и продължителността на нарушението, както и смекчаващите и отегчаващите отговорността обстоятелства. </w:t>
      </w:r>
    </w:p>
    <w:p w:rsidR="006828C9" w:rsidRPr="009E29E8" w:rsidRDefault="006828C9" w:rsidP="00557282">
      <w:pPr>
        <w:ind w:firstLine="708"/>
      </w:pPr>
      <w:r w:rsidRPr="009E29E8">
        <w:t>(2) Санкцията не може да превиши максималния размер, предвиден в ЗЗК – 300 000 лв. Санкцията не може да бъде по-малко от 5000 лв.</w:t>
      </w:r>
    </w:p>
    <w:p w:rsidR="006828C9" w:rsidRPr="009E29E8" w:rsidRDefault="006828C9" w:rsidP="00557282">
      <w:pPr>
        <w:ind w:firstLine="708"/>
      </w:pPr>
      <w:r w:rsidRPr="009E29E8">
        <w:lastRenderedPageBreak/>
        <w:t>(3) Имуществените санкции за нарушенията по глава седма „б“ от ЗЗК се определят в зависимост от тежестта и продължителността на нарушението, както следва:</w:t>
      </w:r>
    </w:p>
    <w:p w:rsidR="006828C9" w:rsidRPr="009E29E8" w:rsidRDefault="006828C9" w:rsidP="00557282">
      <w:pPr>
        <w:ind w:firstLine="708"/>
      </w:pPr>
      <w:r w:rsidRPr="009E29E8">
        <w:t>1. за леки нарушения – до 100 000 лв.;</w:t>
      </w:r>
    </w:p>
    <w:p w:rsidR="006828C9" w:rsidRPr="009E29E8" w:rsidRDefault="006828C9" w:rsidP="00557282">
      <w:pPr>
        <w:ind w:firstLine="708"/>
      </w:pPr>
      <w:r w:rsidRPr="009E29E8">
        <w:t>2. за не особено тежки нарушения – до 200 000 лв.;</w:t>
      </w:r>
    </w:p>
    <w:p w:rsidR="006828C9" w:rsidRPr="009E29E8" w:rsidRDefault="006828C9" w:rsidP="00557282">
      <w:pPr>
        <w:ind w:firstLine="708"/>
      </w:pPr>
      <w:r w:rsidRPr="009E29E8">
        <w:t>3. за тежки нарушения – до 300 000 лв.</w:t>
      </w:r>
    </w:p>
    <w:p w:rsidR="006828C9" w:rsidRPr="009E29E8" w:rsidRDefault="006828C9" w:rsidP="00557282">
      <w:pPr>
        <w:ind w:firstLine="708"/>
      </w:pPr>
      <w:r w:rsidRPr="009E29E8">
        <w:t>(4) По смисъла на ал. 3:</w:t>
      </w:r>
    </w:p>
    <w:p w:rsidR="006828C9" w:rsidRPr="009E29E8" w:rsidRDefault="006828C9" w:rsidP="00557282">
      <w:pPr>
        <w:ind w:firstLine="708"/>
      </w:pPr>
      <w:r w:rsidRPr="009E29E8">
        <w:t>1. леки са нарушенията, при които неблагоприятните правни последици водят до минимален негативен ефект върху доставчика на селскостопански и хранителни продукти, засегнат от нарушението, неговото икономическо състояние, както и върху отношенията между стопанските субекти във веригата за доставки на селскостопански и хранителни продукти, конкуренцията и потребителите на съответния пазар;</w:t>
      </w:r>
    </w:p>
    <w:p w:rsidR="006828C9" w:rsidRPr="009E29E8" w:rsidRDefault="006828C9" w:rsidP="00557282">
      <w:pPr>
        <w:ind w:firstLine="708"/>
      </w:pPr>
      <w:r w:rsidRPr="009E29E8">
        <w:t>2. не особено тежки са нарушенията, при които неблагоприятните правни последици водят до по-значителен негативен ефект върху доставчика на селскостопански и хранителни продукти, засегнат от нарушението, неговото икономическо състояние, както и върху отношенията между стопанските субекти във веригата за доставки на селскостопански и хранителни продукти, конкуренцията и потребителите;</w:t>
      </w:r>
    </w:p>
    <w:p w:rsidR="006828C9" w:rsidRPr="009E29E8" w:rsidRDefault="006828C9" w:rsidP="00557282">
      <w:pPr>
        <w:ind w:firstLine="708"/>
      </w:pPr>
      <w:r w:rsidRPr="009E29E8">
        <w:t>3. тежки са нарушенията, при които неблагоприятните правни последици водят до съществен негативен ефект върху доставчика на селскостопански и хранителни продукти, засегнат от нарушението, неговото икономическо състояние, както и върху отношенията между стопанските субекти във веригата за доставки на селскостопански и хранителни продукти, конкуренцията и потребителите.</w:t>
      </w:r>
    </w:p>
    <w:p w:rsidR="006828C9" w:rsidRPr="009E29E8" w:rsidRDefault="006828C9" w:rsidP="00557282">
      <w:pPr>
        <w:ind w:firstLine="708"/>
      </w:pPr>
      <w:r w:rsidRPr="009E29E8">
        <w:t>(5) При определяне размера на санкцията КЗК взема предвид следните смекчаващи и отегчаващи отговорността обстоятелства:</w:t>
      </w:r>
    </w:p>
    <w:p w:rsidR="006828C9" w:rsidRPr="009E29E8" w:rsidRDefault="006828C9" w:rsidP="00557282">
      <w:pPr>
        <w:ind w:firstLine="708"/>
      </w:pPr>
      <w:r w:rsidRPr="009E29E8">
        <w:t xml:space="preserve">1. смекчаващи отговорността обстоятелства: </w:t>
      </w:r>
    </w:p>
    <w:p w:rsidR="006828C9" w:rsidRPr="009E29E8" w:rsidRDefault="006828C9" w:rsidP="00557282">
      <w:pPr>
        <w:ind w:firstLine="708"/>
      </w:pPr>
      <w:r w:rsidRPr="009E29E8">
        <w:t>а) предприемане на действия за преустановяване на нарушението веднага след намесата на КЗК или след сигнал от страна на засегнатите лица;</w:t>
      </w:r>
    </w:p>
    <w:p w:rsidR="006828C9" w:rsidRPr="009E29E8" w:rsidRDefault="006828C9" w:rsidP="00557282">
      <w:pPr>
        <w:ind w:firstLine="708"/>
      </w:pPr>
      <w:r w:rsidRPr="009E29E8">
        <w:t>б) предприемане на мерки за ограничаване на вредните последици от нарушението, като например предоставяне на доброволно, своевременно и съразмерно обезщетение на засегнатите субекти за причинените им вреди;</w:t>
      </w:r>
    </w:p>
    <w:p w:rsidR="006828C9" w:rsidRPr="009E29E8" w:rsidRDefault="006828C9" w:rsidP="00557282">
      <w:pPr>
        <w:ind w:firstLine="708"/>
      </w:pPr>
      <w:r w:rsidRPr="009E29E8">
        <w:t>в) действията на нарушителя са били провокирани от засегнатия от нарушението;</w:t>
      </w:r>
    </w:p>
    <w:p w:rsidR="006828C9" w:rsidRPr="009E29E8" w:rsidRDefault="006828C9" w:rsidP="00557282">
      <w:pPr>
        <w:ind w:firstLine="708"/>
      </w:pPr>
      <w:r w:rsidRPr="009E29E8">
        <w:t>г) активно съдействие от страна на нарушителя по време на разследването извън обхвата на задължението за съдействие по ЗЗК;</w:t>
      </w:r>
    </w:p>
    <w:p w:rsidR="006828C9" w:rsidRPr="009E29E8" w:rsidRDefault="006828C9" w:rsidP="00557282">
      <w:pPr>
        <w:ind w:firstLine="708"/>
      </w:pPr>
      <w:r w:rsidRPr="009E29E8">
        <w:t>д) други съобразно конкретния случай;</w:t>
      </w:r>
    </w:p>
    <w:p w:rsidR="006828C9" w:rsidRPr="009E29E8" w:rsidRDefault="006828C9" w:rsidP="00557282">
      <w:pPr>
        <w:ind w:firstLine="708"/>
      </w:pPr>
      <w:r w:rsidRPr="009E29E8">
        <w:t>2. отегчаващи отговорността обстоятелства:</w:t>
      </w:r>
    </w:p>
    <w:p w:rsidR="006828C9" w:rsidRPr="009E29E8" w:rsidRDefault="006828C9" w:rsidP="00557282">
      <w:pPr>
        <w:ind w:firstLine="708"/>
      </w:pPr>
      <w:r w:rsidRPr="009E29E8">
        <w:t>а) възпрепятстване проучването на комисията;</w:t>
      </w:r>
    </w:p>
    <w:p w:rsidR="006828C9" w:rsidRPr="009E29E8" w:rsidRDefault="006828C9" w:rsidP="00557282">
      <w:pPr>
        <w:ind w:firstLine="708"/>
      </w:pPr>
      <w:r w:rsidRPr="009E29E8">
        <w:t xml:space="preserve">б) нарушителят извършва нарушение в едногодишен срок от влизане в сила на решение на комисията, с което е наказан за същото по вид нарушение – в този случай основният размер на санкцията може да се увеличи с до 100 % за всяко установено нарушение; </w:t>
      </w:r>
    </w:p>
    <w:p w:rsidR="006828C9" w:rsidRPr="009E29E8" w:rsidRDefault="006828C9" w:rsidP="00557282">
      <w:pPr>
        <w:ind w:firstLine="708"/>
      </w:pPr>
      <w:r w:rsidRPr="009E29E8">
        <w:t xml:space="preserve">в) нарушителят има сходни прояви в миналото (извършил е друго нарушение по глава седма „б“ от ЗЗК); </w:t>
      </w:r>
    </w:p>
    <w:p w:rsidR="006828C9" w:rsidRPr="009E29E8" w:rsidRDefault="006828C9" w:rsidP="00557282">
      <w:pPr>
        <w:ind w:firstLine="708"/>
      </w:pPr>
      <w:r w:rsidRPr="009E29E8">
        <w:lastRenderedPageBreak/>
        <w:t xml:space="preserve">г) нарушението създава опасност за или уврежда живота или здравето на потребителите; </w:t>
      </w:r>
    </w:p>
    <w:p w:rsidR="006828C9" w:rsidRPr="009E29E8" w:rsidRDefault="006828C9" w:rsidP="00557282">
      <w:pPr>
        <w:ind w:firstLine="708"/>
      </w:pPr>
      <w:r w:rsidRPr="009E29E8">
        <w:t>д) последиците от нарушението обхващат значителна част от пазара в географско отношение;</w:t>
      </w:r>
    </w:p>
    <w:p w:rsidR="006828C9" w:rsidRPr="009E29E8" w:rsidRDefault="006828C9" w:rsidP="00557282">
      <w:pPr>
        <w:ind w:firstLine="708"/>
      </w:pPr>
      <w:r w:rsidRPr="009E29E8">
        <w:t>е) други съобразно конкретния случай.</w:t>
      </w:r>
    </w:p>
    <w:p w:rsidR="006828C9" w:rsidRPr="009E29E8" w:rsidRDefault="006828C9" w:rsidP="006828C9">
      <w:pPr>
        <w:spacing w:before="120" w:after="120"/>
        <w:jc w:val="center"/>
      </w:pPr>
      <w:r w:rsidRPr="009E29E8">
        <w:t>VI. ОПРЕДЕЛЯНЕ НА ИМУЩЕСТВЕНИТЕ САНКЦИИ ЗА НЕИЗПЪЛНЕНИЕ НА РЕШЕНИЯ ИЛИ ОПРЕДЕЛЕНИЯ НА КЗК</w:t>
      </w:r>
    </w:p>
    <w:p w:rsidR="006828C9" w:rsidRPr="009E29E8" w:rsidRDefault="006828C9" w:rsidP="00557282">
      <w:pPr>
        <w:ind w:firstLine="708"/>
      </w:pPr>
      <w:r w:rsidRPr="009E29E8">
        <w:rPr>
          <w:b/>
          <w:bCs/>
        </w:rPr>
        <w:t>Чл. 23.</w:t>
      </w:r>
      <w:r w:rsidRPr="009E29E8">
        <w:t xml:space="preserve"> Имуществените санкции за неизпълнение на решение или определение на КЗК се налагат на основание чл. 100, ал. 1, т. 7 от ЗЗК и се определят, както следва:</w:t>
      </w:r>
    </w:p>
    <w:p w:rsidR="006828C9" w:rsidRPr="009E29E8" w:rsidRDefault="006828C9" w:rsidP="00557282">
      <w:pPr>
        <w:ind w:firstLine="708"/>
      </w:pPr>
      <w:r w:rsidRPr="009E29E8">
        <w:t>1. за неизпълнение на решение на КЗК, с което е установено нарушение на ЗЗК и е наложена имуществена санкция, санкцията се определя в двоен размер на първоначално наложената, като размерът й не следва да превишава 10 % от общия оборот на предприятието за предходната финансова година и законовия максимум за нарушение по глава седма „б“ от ЗЗК;</w:t>
      </w:r>
    </w:p>
    <w:p w:rsidR="006828C9" w:rsidRPr="009E29E8" w:rsidRDefault="006828C9" w:rsidP="00557282">
      <w:pPr>
        <w:ind w:firstLine="708"/>
      </w:pPr>
      <w:r w:rsidRPr="009E29E8">
        <w:t>2. при неизпълнение на други решения или определения на КЗК</w:t>
      </w:r>
      <w:r w:rsidR="00557282">
        <w:rPr>
          <w:rStyle w:val="FootnoteReference"/>
        </w:rPr>
        <w:footnoteReference w:id="3"/>
      </w:r>
      <w:r w:rsidRPr="009E29E8">
        <w:t xml:space="preserve"> неизпълнението се квалифицира като тежко нарушение и на нарушителя се налага имуществена санкция, определена по реда на настоящата методика според правилата, приложими спрямо тежките нарушен</w:t>
      </w:r>
      <w:r w:rsidR="00557282">
        <w:t>ия за съответния вид нарушение.</w:t>
      </w:r>
      <w:r w:rsidRPr="009E29E8">
        <w:t> </w:t>
      </w:r>
    </w:p>
    <w:p w:rsidR="006828C9" w:rsidRPr="009E29E8" w:rsidRDefault="006828C9" w:rsidP="006828C9">
      <w:pPr>
        <w:spacing w:before="120" w:after="120"/>
        <w:jc w:val="center"/>
      </w:pPr>
      <w:r w:rsidRPr="009E29E8">
        <w:t xml:space="preserve">VII. ОПРЕДЕЛЯНЕ НА ИМУЩЕСТВЕНИТЕ САНКЦИИ ПО ЧЛ. 100, АЛ. 5 ОТ ЗЗК </w:t>
      </w:r>
    </w:p>
    <w:p w:rsidR="006828C9" w:rsidRPr="009E29E8" w:rsidRDefault="006828C9" w:rsidP="00557282">
      <w:pPr>
        <w:ind w:firstLine="708"/>
      </w:pPr>
      <w:r w:rsidRPr="009E29E8">
        <w:rPr>
          <w:b/>
          <w:bCs/>
        </w:rPr>
        <w:t>Чл. 24.</w:t>
      </w:r>
      <w:r w:rsidRPr="009E29E8">
        <w:t xml:space="preserve"> КЗК налага имуществена санкция в размер до 1 % от общия оборот за предходната финансова година за нарушенията по чл. 100, ал. 5 от ЗЗК. В производствата по глава седма „б“ за нарушенията по чл. 100, ал. 5 от ЗЗК КЗК налага имуществена санкция в размер от 1000 до 10 000 лв. При определянето размера на санкцията се отчитат характерът, значението и необходимостта на информацията за проучването, тежестта на извършеното нарушение и смекчаващите и отегчаващите обстоятелства. </w:t>
      </w:r>
    </w:p>
    <w:p w:rsidR="006828C9" w:rsidRPr="009E29E8" w:rsidRDefault="006828C9" w:rsidP="006828C9">
      <w:pPr>
        <w:spacing w:before="120" w:after="120"/>
        <w:jc w:val="center"/>
      </w:pPr>
      <w:r w:rsidRPr="009E29E8">
        <w:t>VІІI. ОПРЕДЕЛЯНЕ НА ПЕРИОДИЧНИТЕ ИМУЩЕСТВЕНИ САНКЦИИ ПО ЧЛ. 100, АЛ. 9 И 11 ОТ ЗЗК</w:t>
      </w:r>
    </w:p>
    <w:p w:rsidR="006828C9" w:rsidRPr="009E29E8" w:rsidRDefault="006828C9" w:rsidP="00557282">
      <w:pPr>
        <w:ind w:firstLine="708"/>
      </w:pPr>
      <w:r w:rsidRPr="009E29E8">
        <w:rPr>
          <w:b/>
          <w:bCs/>
        </w:rPr>
        <w:t>Чл. 25.</w:t>
      </w:r>
      <w:r w:rsidRPr="009E29E8">
        <w:t xml:space="preserve"> Периодичните имуществени санкции по чл. 100, ал. 9 и 11 от ЗЗК се определят на базата на среднодневния оборот на предприятието, който се изчислява, като общият оборот на предприятието за предходната финансова година се раздели на 365.</w:t>
      </w:r>
    </w:p>
    <w:p w:rsidR="006828C9" w:rsidRPr="009E29E8" w:rsidRDefault="006828C9" w:rsidP="00557282">
      <w:pPr>
        <w:ind w:firstLine="708"/>
      </w:pPr>
      <w:r w:rsidRPr="009E29E8">
        <w:rPr>
          <w:b/>
          <w:bCs/>
        </w:rPr>
        <w:t>Чл. 26.</w:t>
      </w:r>
      <w:r w:rsidRPr="009E29E8">
        <w:t xml:space="preserve"> За нарушенията по чл. 100, ал. 9 от ЗЗК КЗК налага периодична имуществена санкция в размер до 5 % от среднодневния оборот на предприятието. В производствата по глава седма „б“ за нарушения по чл. 100, ал. 9, т. 1 и 2 от ЗЗК КЗК налага имуществена санкция в размер от 5000 до 50 000 лв. При определянето размера на санкцията се отчитат тежестта на нарушението и смекчаващите и отегчаващите обстоятелства.</w:t>
      </w:r>
    </w:p>
    <w:p w:rsidR="006828C9" w:rsidRPr="009E29E8" w:rsidRDefault="006828C9" w:rsidP="00557282">
      <w:pPr>
        <w:ind w:firstLine="708"/>
      </w:pPr>
      <w:r w:rsidRPr="009E29E8">
        <w:rPr>
          <w:b/>
          <w:bCs/>
        </w:rPr>
        <w:t>Чл. 27.</w:t>
      </w:r>
      <w:r w:rsidRPr="009E29E8">
        <w:t xml:space="preserve"> За нарушенията по чл. 100, ал. 11 от ЗЗК КЗК налага периодична имуществена санкция в размер до 1 % от среднодневния оборот на предприятието. В производствата по глава седма „б“ за нарушенията по чл. 100, ал. 11 от ЗЗК КЗК </w:t>
      </w:r>
      <w:r w:rsidRPr="009E29E8">
        <w:lastRenderedPageBreak/>
        <w:t>налага имуществена санкция в размер от 5000 до 50 000 лв. При определянето размера на санкцията се отчитат тежестта на нарушението и смекчаващите и отегчаващите обстоятелства.</w:t>
      </w:r>
    </w:p>
    <w:p w:rsidR="006828C9" w:rsidRPr="009E29E8" w:rsidRDefault="006828C9" w:rsidP="006828C9">
      <w:pPr>
        <w:spacing w:before="120" w:after="120"/>
        <w:jc w:val="center"/>
      </w:pPr>
      <w:r w:rsidRPr="009E29E8">
        <w:t>IX. ОПРЕДЕЛЯНЕ НА ГЛОБИТЕ НА ФИЗИЧЕСКИ ЛИЦА ПО ЧЛ. 102 ОТ ЗЗК</w:t>
      </w:r>
    </w:p>
    <w:p w:rsidR="006828C9" w:rsidRPr="009E29E8" w:rsidRDefault="006828C9" w:rsidP="00330D9D">
      <w:pPr>
        <w:ind w:firstLine="708"/>
      </w:pPr>
      <w:r w:rsidRPr="009E29E8">
        <w:rPr>
          <w:b/>
          <w:bCs/>
        </w:rPr>
        <w:t>Чл. 28.</w:t>
      </w:r>
      <w:r w:rsidRPr="009E29E8">
        <w:t xml:space="preserve"> При определяне размера на глобата по чл. 102, ал. 1 – 3 от ЗЗК КЗК взема предвид тежестта и продължителността на нарушението, качеството, в което е действало лицето, имотното му състояние, както и смекчаващите и отегчаващите отговорността обстоятелства.</w:t>
      </w:r>
    </w:p>
    <w:p w:rsidR="006828C9" w:rsidRPr="009E29E8" w:rsidRDefault="006828C9" w:rsidP="00330D9D">
      <w:pPr>
        <w:ind w:firstLine="708"/>
      </w:pPr>
      <w:r w:rsidRPr="009E29E8">
        <w:rPr>
          <w:b/>
          <w:bCs/>
        </w:rPr>
        <w:t>Чл. 29.</w:t>
      </w:r>
      <w:r w:rsidRPr="009E29E8">
        <w:t xml:space="preserve"> При оценяване на тежестта на нарушението се взема предвид съответно тежестта на нарушението, за което физическото лице е съдействало, или значението на непредоставените доказателство, информация или обяснения за проучването. </w:t>
      </w:r>
    </w:p>
    <w:p w:rsidR="006828C9" w:rsidRPr="009E29E8" w:rsidRDefault="006828C9" w:rsidP="00330D9D">
      <w:pPr>
        <w:ind w:firstLine="708"/>
      </w:pPr>
      <w:r w:rsidRPr="009E29E8">
        <w:rPr>
          <w:b/>
          <w:bCs/>
        </w:rPr>
        <w:t>Чл. 30.</w:t>
      </w:r>
      <w:r w:rsidRPr="009E29E8">
        <w:t xml:space="preserve"> Не се налага глоба на членовете на управителните и контролните органи и на други служители от предприятието, подало искане по чл. 101, ал. 1 от ЗЗК, както и на лица, които към момента на извършване на нарушението са имали такова качество, когато са налице следните условия по чл. 102, ал. 5 от ЗЗК:</w:t>
      </w:r>
    </w:p>
    <w:p w:rsidR="006828C9" w:rsidRPr="009E29E8" w:rsidRDefault="006828C9" w:rsidP="00330D9D">
      <w:pPr>
        <w:ind w:firstLine="708"/>
      </w:pPr>
      <w:r w:rsidRPr="009E29E8">
        <w:t>1. искането на предприятието отговаря на условията по чл. 101, ал. 1 от ЗЗК;</w:t>
      </w:r>
    </w:p>
    <w:p w:rsidR="006828C9" w:rsidRPr="009E29E8" w:rsidRDefault="006828C9" w:rsidP="00330D9D">
      <w:pPr>
        <w:ind w:firstLine="708"/>
      </w:pPr>
      <w:r w:rsidRPr="009E29E8">
        <w:t>2. лицата сътрудничат активно на комисията в производството, и</w:t>
      </w:r>
    </w:p>
    <w:p w:rsidR="006828C9" w:rsidRPr="009E29E8" w:rsidRDefault="006828C9" w:rsidP="00330D9D">
      <w:pPr>
        <w:ind w:firstLine="708"/>
      </w:pPr>
      <w:r w:rsidRPr="009E29E8">
        <w:t>3. искането по чл. 101, ал. 1 от ЗЗК е подадено преди уведомяването на лицата за образуваното производство.</w:t>
      </w:r>
    </w:p>
    <w:p w:rsidR="006828C9" w:rsidRPr="009E29E8" w:rsidRDefault="006828C9" w:rsidP="006828C9">
      <w:pPr>
        <w:spacing w:before="120" w:after="120"/>
        <w:jc w:val="center"/>
      </w:pPr>
      <w:r w:rsidRPr="009E29E8">
        <w:t>X. ЗАКЛЮЧИТЕЛНИ РАЗПОРЕДБИ</w:t>
      </w:r>
    </w:p>
    <w:p w:rsidR="006828C9" w:rsidRPr="009E29E8" w:rsidRDefault="006828C9" w:rsidP="00330D9D">
      <w:pPr>
        <w:ind w:firstLine="708"/>
      </w:pPr>
      <w:r w:rsidRPr="009E29E8">
        <w:rPr>
          <w:b/>
          <w:bCs/>
        </w:rPr>
        <w:t xml:space="preserve">§ 1. </w:t>
      </w:r>
      <w:r w:rsidRPr="009E29E8">
        <w:t xml:space="preserve">При определяне на конкретните размери на имуществените санкции, глобите, периодичните имуществени санкции и периодичните глоби КЗК използва закръглени числа. </w:t>
      </w:r>
    </w:p>
    <w:p w:rsidR="006828C9" w:rsidRPr="009E29E8" w:rsidRDefault="006828C9" w:rsidP="00330D9D">
      <w:pPr>
        <w:ind w:firstLine="708"/>
      </w:pPr>
      <w:r w:rsidRPr="009E29E8">
        <w:rPr>
          <w:b/>
          <w:bCs/>
        </w:rPr>
        <w:t xml:space="preserve">§ 2. </w:t>
      </w:r>
      <w:r w:rsidRPr="009E29E8">
        <w:t>Настоящата методика може да бъде своевременно изменяна и допълвана от КЗК с правила, отразяващи последното развитие на правоприлагането, с оглед повишаване на ефективността на санкционната политика на КЗК.</w:t>
      </w:r>
    </w:p>
    <w:p w:rsidR="006828C9" w:rsidRPr="009E29E8" w:rsidRDefault="006828C9" w:rsidP="00330D9D">
      <w:pPr>
        <w:ind w:firstLine="708"/>
      </w:pPr>
      <w:r w:rsidRPr="009E29E8">
        <w:rPr>
          <w:b/>
          <w:bCs/>
        </w:rPr>
        <w:t xml:space="preserve">§ 3. </w:t>
      </w:r>
      <w:r w:rsidRPr="009E29E8">
        <w:t>Настоящата методика е приета с Решение № 607 на Комисията за защита на конкуренцията от 10.06.2021 г. на основание чл. 100, ал. 8 от Закона за защита на конкуренцията и влиза в сила от датата на нейното обнародване в „Държавен вестник“</w:t>
      </w:r>
      <w:r w:rsidR="009E29E8" w:rsidRPr="009E29E8">
        <w:t xml:space="preserve"> (Обн. ДВ, бр.51 от 18.06.2021)</w:t>
      </w:r>
      <w:r w:rsidRPr="009E29E8">
        <w:t>.</w:t>
      </w:r>
    </w:p>
    <w:p w:rsidR="006828C9" w:rsidRDefault="006828C9" w:rsidP="00330D9D">
      <w:pPr>
        <w:ind w:firstLine="708"/>
      </w:pPr>
      <w:r w:rsidRPr="009E29E8">
        <w:rPr>
          <w:b/>
          <w:bCs/>
        </w:rPr>
        <w:t xml:space="preserve">§ 4. </w:t>
      </w:r>
      <w:r w:rsidRPr="009E29E8">
        <w:t xml:space="preserve">Настоящата методика отменя Методиката за определяне на санкциите по Закона за защита на конкуренцията, приета с Решение № 71 от 3.02.2009 г. на КЗК, изм. и доп. с Решение № 1024 от 6.10.2009 г., Решение № 330 от 17.03.2011 г. и Решение № 900 от 17.11.2015 г. </w:t>
      </w:r>
    </w:p>
    <w:p w:rsidR="00330D9D" w:rsidRPr="009E29E8" w:rsidRDefault="00330D9D" w:rsidP="00330D9D">
      <w:pPr>
        <w:ind w:firstLine="708"/>
      </w:pPr>
    </w:p>
    <w:p w:rsidR="00330D9D" w:rsidRDefault="004B1CDF" w:rsidP="00330D9D">
      <w:pPr>
        <w:jc w:val="right"/>
      </w:pPr>
      <w:r w:rsidRPr="009E29E8">
        <w:t xml:space="preserve">ПРЕДСЕДАТЕЛ: </w:t>
      </w:r>
    </w:p>
    <w:p w:rsidR="006828C9" w:rsidRPr="009E29E8" w:rsidRDefault="004B1CDF" w:rsidP="00330D9D">
      <w:pPr>
        <w:jc w:val="right"/>
      </w:pPr>
      <w:r w:rsidRPr="009E29E8">
        <w:rPr>
          <w:b/>
          <w:bCs/>
        </w:rPr>
        <w:t>ЮЛИЯ НЕНКОВА</w:t>
      </w:r>
    </w:p>
    <w:p w:rsidR="00757651" w:rsidRPr="009E29E8" w:rsidRDefault="00757651"/>
    <w:sectPr w:rsidR="00757651" w:rsidRPr="009E29E8" w:rsidSect="00C94086">
      <w:footerReference w:type="default" r:id="rId7"/>
      <w:pgSz w:w="11906" w:h="16838"/>
      <w:pgMar w:top="1418" w:right="1418" w:bottom="130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7EC" w:rsidRDefault="005607EC" w:rsidP="000C240C">
      <w:r>
        <w:separator/>
      </w:r>
    </w:p>
  </w:endnote>
  <w:endnote w:type="continuationSeparator" w:id="0">
    <w:p w:rsidR="005607EC" w:rsidRDefault="005607EC" w:rsidP="000C2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7346295"/>
      <w:docPartObj>
        <w:docPartGallery w:val="Page Numbers (Bottom of Page)"/>
        <w:docPartUnique/>
      </w:docPartObj>
    </w:sdtPr>
    <w:sdtEndPr>
      <w:rPr>
        <w:noProof/>
        <w:sz w:val="24"/>
      </w:rPr>
    </w:sdtEndPr>
    <w:sdtContent>
      <w:p w:rsidR="000C240C" w:rsidRPr="000C240C" w:rsidRDefault="000C240C">
        <w:pPr>
          <w:pStyle w:val="Footer"/>
          <w:jc w:val="right"/>
          <w:rPr>
            <w:sz w:val="24"/>
          </w:rPr>
        </w:pPr>
        <w:r w:rsidRPr="000C240C">
          <w:rPr>
            <w:sz w:val="24"/>
          </w:rPr>
          <w:fldChar w:fldCharType="begin"/>
        </w:r>
        <w:r w:rsidRPr="000C240C">
          <w:rPr>
            <w:sz w:val="24"/>
          </w:rPr>
          <w:instrText xml:space="preserve"> PAGE   \* MERGEFORMAT </w:instrText>
        </w:r>
        <w:r w:rsidRPr="000C240C">
          <w:rPr>
            <w:sz w:val="24"/>
          </w:rPr>
          <w:fldChar w:fldCharType="separate"/>
        </w:r>
        <w:r w:rsidR="008539D7">
          <w:rPr>
            <w:noProof/>
            <w:sz w:val="24"/>
          </w:rPr>
          <w:t>2</w:t>
        </w:r>
        <w:r w:rsidRPr="000C240C">
          <w:rPr>
            <w:noProof/>
            <w:sz w:val="24"/>
          </w:rPr>
          <w:fldChar w:fldCharType="end"/>
        </w:r>
      </w:p>
    </w:sdtContent>
  </w:sdt>
  <w:p w:rsidR="000C240C" w:rsidRDefault="000C2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7EC" w:rsidRDefault="005607EC" w:rsidP="000C240C">
      <w:r>
        <w:separator/>
      </w:r>
    </w:p>
  </w:footnote>
  <w:footnote w:type="continuationSeparator" w:id="0">
    <w:p w:rsidR="005607EC" w:rsidRDefault="005607EC" w:rsidP="000C240C">
      <w:r>
        <w:continuationSeparator/>
      </w:r>
    </w:p>
  </w:footnote>
  <w:footnote w:id="1">
    <w:p w:rsidR="000C240C" w:rsidRPr="000C240C" w:rsidRDefault="000C240C">
      <w:pPr>
        <w:pStyle w:val="FootnoteText"/>
        <w:rPr>
          <w:lang w:val="en-US"/>
        </w:rPr>
      </w:pPr>
      <w:r>
        <w:rPr>
          <w:rStyle w:val="FootnoteReference"/>
        </w:rPr>
        <w:footnoteRef/>
      </w:r>
      <w:r>
        <w:t xml:space="preserve"> </w:t>
      </w:r>
      <w:r w:rsidRPr="009E29E8">
        <w:t>КЗК взема предвид стойността на продажбите преди облагане с ДДС и други данъци, свързани с продажбите</w:t>
      </w:r>
    </w:p>
  </w:footnote>
  <w:footnote w:id="2">
    <w:p w:rsidR="000C240C" w:rsidRPr="000C240C" w:rsidRDefault="000C240C">
      <w:pPr>
        <w:pStyle w:val="FootnoteText"/>
        <w:rPr>
          <w:lang w:val="en-US"/>
        </w:rPr>
      </w:pPr>
      <w:r>
        <w:rPr>
          <w:rStyle w:val="FootnoteReference"/>
        </w:rPr>
        <w:footnoteRef/>
      </w:r>
      <w:r>
        <w:t xml:space="preserve"> </w:t>
      </w:r>
      <w:r w:rsidRPr="009E29E8">
        <w:t>Такъв може да бъде случаят на хоризонтални споразумения за определяне на цени на покупка на продукт, който служи като суровина или материал за производството на друг краен продукт.</w:t>
      </w:r>
    </w:p>
  </w:footnote>
  <w:footnote w:id="3">
    <w:p w:rsidR="00557282" w:rsidRPr="00557282" w:rsidRDefault="00557282">
      <w:pPr>
        <w:pStyle w:val="FootnoteText"/>
        <w:rPr>
          <w:lang w:val="en-US"/>
        </w:rPr>
      </w:pPr>
      <w:r>
        <w:rPr>
          <w:rStyle w:val="FootnoteReference"/>
        </w:rPr>
        <w:footnoteRef/>
      </w:r>
      <w:r>
        <w:t xml:space="preserve"> </w:t>
      </w:r>
      <w:r w:rsidRPr="009E29E8">
        <w:t>Например решение за одобряване на поети задължения и определяне на срок за изпълнението им.</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0EC"/>
    <w:rsid w:val="000C240C"/>
    <w:rsid w:val="00187535"/>
    <w:rsid w:val="002D25D5"/>
    <w:rsid w:val="00330D9D"/>
    <w:rsid w:val="004500EC"/>
    <w:rsid w:val="004B1CDF"/>
    <w:rsid w:val="00557282"/>
    <w:rsid w:val="005607EC"/>
    <w:rsid w:val="006828C9"/>
    <w:rsid w:val="00757651"/>
    <w:rsid w:val="007A2081"/>
    <w:rsid w:val="007F250C"/>
    <w:rsid w:val="008539D7"/>
    <w:rsid w:val="00891610"/>
    <w:rsid w:val="009E29E8"/>
    <w:rsid w:val="00C9408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961A33-ACC8-4AAF-A395-692577559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bg-BG"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40C"/>
    <w:pPr>
      <w:tabs>
        <w:tab w:val="center" w:pos="4536"/>
        <w:tab w:val="right" w:pos="9072"/>
      </w:tabs>
    </w:pPr>
  </w:style>
  <w:style w:type="character" w:customStyle="1" w:styleId="HeaderChar">
    <w:name w:val="Header Char"/>
    <w:basedOn w:val="DefaultParagraphFont"/>
    <w:link w:val="Header"/>
    <w:uiPriority w:val="99"/>
    <w:rsid w:val="000C240C"/>
  </w:style>
  <w:style w:type="paragraph" w:styleId="Footer">
    <w:name w:val="footer"/>
    <w:basedOn w:val="Normal"/>
    <w:link w:val="FooterChar"/>
    <w:uiPriority w:val="99"/>
    <w:unhideWhenUsed/>
    <w:rsid w:val="000C240C"/>
    <w:pPr>
      <w:tabs>
        <w:tab w:val="center" w:pos="4536"/>
        <w:tab w:val="right" w:pos="9072"/>
      </w:tabs>
    </w:pPr>
  </w:style>
  <w:style w:type="character" w:customStyle="1" w:styleId="FooterChar">
    <w:name w:val="Footer Char"/>
    <w:basedOn w:val="DefaultParagraphFont"/>
    <w:link w:val="Footer"/>
    <w:uiPriority w:val="99"/>
    <w:rsid w:val="000C240C"/>
  </w:style>
  <w:style w:type="paragraph" w:styleId="FootnoteText">
    <w:name w:val="footnote text"/>
    <w:basedOn w:val="Normal"/>
    <w:link w:val="FootnoteTextChar"/>
    <w:uiPriority w:val="99"/>
    <w:semiHidden/>
    <w:unhideWhenUsed/>
    <w:rsid w:val="000C240C"/>
    <w:rPr>
      <w:sz w:val="20"/>
      <w:szCs w:val="20"/>
    </w:rPr>
  </w:style>
  <w:style w:type="character" w:customStyle="1" w:styleId="FootnoteTextChar">
    <w:name w:val="Footnote Text Char"/>
    <w:basedOn w:val="DefaultParagraphFont"/>
    <w:link w:val="FootnoteText"/>
    <w:uiPriority w:val="99"/>
    <w:semiHidden/>
    <w:rsid w:val="000C240C"/>
    <w:rPr>
      <w:sz w:val="20"/>
      <w:szCs w:val="20"/>
    </w:rPr>
  </w:style>
  <w:style w:type="character" w:styleId="FootnoteReference">
    <w:name w:val="footnote reference"/>
    <w:basedOn w:val="DefaultParagraphFont"/>
    <w:uiPriority w:val="99"/>
    <w:semiHidden/>
    <w:unhideWhenUsed/>
    <w:rsid w:val="000C24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822934">
      <w:bodyDiv w:val="1"/>
      <w:marLeft w:val="0"/>
      <w:marRight w:val="0"/>
      <w:marTop w:val="0"/>
      <w:marBottom w:val="0"/>
      <w:divBdr>
        <w:top w:val="none" w:sz="0" w:space="0" w:color="auto"/>
        <w:left w:val="none" w:sz="0" w:space="0" w:color="auto"/>
        <w:bottom w:val="none" w:sz="0" w:space="0" w:color="auto"/>
        <w:right w:val="none" w:sz="0" w:space="0" w:color="auto"/>
      </w:divBdr>
      <w:divsChild>
        <w:div w:id="1787383087">
          <w:marLeft w:val="0"/>
          <w:marRight w:val="0"/>
          <w:marTop w:val="0"/>
          <w:marBottom w:val="0"/>
          <w:divBdr>
            <w:top w:val="none" w:sz="0" w:space="0" w:color="auto"/>
            <w:left w:val="none" w:sz="0" w:space="0" w:color="auto"/>
            <w:bottom w:val="none" w:sz="0" w:space="0" w:color="auto"/>
            <w:right w:val="none" w:sz="0" w:space="0" w:color="auto"/>
          </w:divBdr>
        </w:div>
        <w:div w:id="540095401">
          <w:marLeft w:val="0"/>
          <w:marRight w:val="0"/>
          <w:marTop w:val="0"/>
          <w:marBottom w:val="0"/>
          <w:divBdr>
            <w:top w:val="none" w:sz="0" w:space="0" w:color="auto"/>
            <w:left w:val="none" w:sz="0" w:space="0" w:color="auto"/>
            <w:bottom w:val="none" w:sz="0" w:space="0" w:color="auto"/>
            <w:right w:val="none" w:sz="0" w:space="0" w:color="auto"/>
          </w:divBdr>
        </w:div>
        <w:div w:id="1690450498">
          <w:marLeft w:val="0"/>
          <w:marRight w:val="0"/>
          <w:marTop w:val="0"/>
          <w:marBottom w:val="0"/>
          <w:divBdr>
            <w:top w:val="none" w:sz="0" w:space="0" w:color="auto"/>
            <w:left w:val="none" w:sz="0" w:space="0" w:color="auto"/>
            <w:bottom w:val="none" w:sz="0" w:space="0" w:color="auto"/>
            <w:right w:val="none" w:sz="0" w:space="0" w:color="auto"/>
          </w:divBdr>
        </w:div>
        <w:div w:id="213276452">
          <w:marLeft w:val="0"/>
          <w:marRight w:val="0"/>
          <w:marTop w:val="0"/>
          <w:marBottom w:val="0"/>
          <w:divBdr>
            <w:top w:val="none" w:sz="0" w:space="0" w:color="auto"/>
            <w:left w:val="none" w:sz="0" w:space="0" w:color="auto"/>
            <w:bottom w:val="none" w:sz="0" w:space="0" w:color="auto"/>
            <w:right w:val="none" w:sz="0" w:space="0" w:color="auto"/>
          </w:divBdr>
        </w:div>
        <w:div w:id="322634428">
          <w:marLeft w:val="0"/>
          <w:marRight w:val="0"/>
          <w:marTop w:val="0"/>
          <w:marBottom w:val="0"/>
          <w:divBdr>
            <w:top w:val="none" w:sz="0" w:space="0" w:color="auto"/>
            <w:left w:val="none" w:sz="0" w:space="0" w:color="auto"/>
            <w:bottom w:val="none" w:sz="0" w:space="0" w:color="auto"/>
            <w:right w:val="none" w:sz="0" w:space="0" w:color="auto"/>
          </w:divBdr>
        </w:div>
        <w:div w:id="1909076625">
          <w:marLeft w:val="0"/>
          <w:marRight w:val="0"/>
          <w:marTop w:val="0"/>
          <w:marBottom w:val="0"/>
          <w:divBdr>
            <w:top w:val="none" w:sz="0" w:space="0" w:color="auto"/>
            <w:left w:val="none" w:sz="0" w:space="0" w:color="auto"/>
            <w:bottom w:val="none" w:sz="0" w:space="0" w:color="auto"/>
            <w:right w:val="none" w:sz="0" w:space="0" w:color="auto"/>
          </w:divBdr>
        </w:div>
        <w:div w:id="1992826715">
          <w:marLeft w:val="0"/>
          <w:marRight w:val="0"/>
          <w:marTop w:val="0"/>
          <w:marBottom w:val="0"/>
          <w:divBdr>
            <w:top w:val="none" w:sz="0" w:space="0" w:color="auto"/>
            <w:left w:val="none" w:sz="0" w:space="0" w:color="auto"/>
            <w:bottom w:val="none" w:sz="0" w:space="0" w:color="auto"/>
            <w:right w:val="none" w:sz="0" w:space="0" w:color="auto"/>
          </w:divBdr>
        </w:div>
        <w:div w:id="75514257">
          <w:marLeft w:val="0"/>
          <w:marRight w:val="0"/>
          <w:marTop w:val="0"/>
          <w:marBottom w:val="0"/>
          <w:divBdr>
            <w:top w:val="none" w:sz="0" w:space="0" w:color="auto"/>
            <w:left w:val="none" w:sz="0" w:space="0" w:color="auto"/>
            <w:bottom w:val="none" w:sz="0" w:space="0" w:color="auto"/>
            <w:right w:val="none" w:sz="0" w:space="0" w:color="auto"/>
          </w:divBdr>
        </w:div>
        <w:div w:id="1775595786">
          <w:marLeft w:val="0"/>
          <w:marRight w:val="0"/>
          <w:marTop w:val="0"/>
          <w:marBottom w:val="0"/>
          <w:divBdr>
            <w:top w:val="none" w:sz="0" w:space="0" w:color="auto"/>
            <w:left w:val="none" w:sz="0" w:space="0" w:color="auto"/>
            <w:bottom w:val="none" w:sz="0" w:space="0" w:color="auto"/>
            <w:right w:val="none" w:sz="0" w:space="0" w:color="auto"/>
          </w:divBdr>
        </w:div>
        <w:div w:id="1194997515">
          <w:marLeft w:val="0"/>
          <w:marRight w:val="0"/>
          <w:marTop w:val="0"/>
          <w:marBottom w:val="0"/>
          <w:divBdr>
            <w:top w:val="none" w:sz="0" w:space="0" w:color="auto"/>
            <w:left w:val="none" w:sz="0" w:space="0" w:color="auto"/>
            <w:bottom w:val="none" w:sz="0" w:space="0" w:color="auto"/>
            <w:right w:val="none" w:sz="0" w:space="0" w:color="auto"/>
          </w:divBdr>
        </w:div>
        <w:div w:id="856040067">
          <w:marLeft w:val="0"/>
          <w:marRight w:val="0"/>
          <w:marTop w:val="0"/>
          <w:marBottom w:val="0"/>
          <w:divBdr>
            <w:top w:val="none" w:sz="0" w:space="0" w:color="auto"/>
            <w:left w:val="none" w:sz="0" w:space="0" w:color="auto"/>
            <w:bottom w:val="none" w:sz="0" w:space="0" w:color="auto"/>
            <w:right w:val="none" w:sz="0" w:space="0" w:color="auto"/>
          </w:divBdr>
        </w:div>
        <w:div w:id="125399100">
          <w:marLeft w:val="0"/>
          <w:marRight w:val="0"/>
          <w:marTop w:val="0"/>
          <w:marBottom w:val="0"/>
          <w:divBdr>
            <w:top w:val="none" w:sz="0" w:space="0" w:color="auto"/>
            <w:left w:val="none" w:sz="0" w:space="0" w:color="auto"/>
            <w:bottom w:val="none" w:sz="0" w:space="0" w:color="auto"/>
            <w:right w:val="none" w:sz="0" w:space="0" w:color="auto"/>
          </w:divBdr>
        </w:div>
        <w:div w:id="1684087169">
          <w:marLeft w:val="0"/>
          <w:marRight w:val="0"/>
          <w:marTop w:val="0"/>
          <w:marBottom w:val="0"/>
          <w:divBdr>
            <w:top w:val="none" w:sz="0" w:space="0" w:color="auto"/>
            <w:left w:val="none" w:sz="0" w:space="0" w:color="auto"/>
            <w:bottom w:val="none" w:sz="0" w:space="0" w:color="auto"/>
            <w:right w:val="none" w:sz="0" w:space="0" w:color="auto"/>
          </w:divBdr>
        </w:div>
        <w:div w:id="1550024387">
          <w:marLeft w:val="0"/>
          <w:marRight w:val="0"/>
          <w:marTop w:val="0"/>
          <w:marBottom w:val="0"/>
          <w:divBdr>
            <w:top w:val="none" w:sz="0" w:space="0" w:color="auto"/>
            <w:left w:val="none" w:sz="0" w:space="0" w:color="auto"/>
            <w:bottom w:val="none" w:sz="0" w:space="0" w:color="auto"/>
            <w:right w:val="none" w:sz="0" w:space="0" w:color="auto"/>
          </w:divBdr>
        </w:div>
        <w:div w:id="1017200193">
          <w:marLeft w:val="0"/>
          <w:marRight w:val="0"/>
          <w:marTop w:val="0"/>
          <w:marBottom w:val="0"/>
          <w:divBdr>
            <w:top w:val="none" w:sz="0" w:space="0" w:color="auto"/>
            <w:left w:val="none" w:sz="0" w:space="0" w:color="auto"/>
            <w:bottom w:val="none" w:sz="0" w:space="0" w:color="auto"/>
            <w:right w:val="none" w:sz="0" w:space="0" w:color="auto"/>
          </w:divBdr>
        </w:div>
        <w:div w:id="1427189675">
          <w:marLeft w:val="0"/>
          <w:marRight w:val="0"/>
          <w:marTop w:val="0"/>
          <w:marBottom w:val="0"/>
          <w:divBdr>
            <w:top w:val="none" w:sz="0" w:space="0" w:color="auto"/>
            <w:left w:val="none" w:sz="0" w:space="0" w:color="auto"/>
            <w:bottom w:val="none" w:sz="0" w:space="0" w:color="auto"/>
            <w:right w:val="none" w:sz="0" w:space="0" w:color="auto"/>
          </w:divBdr>
        </w:div>
        <w:div w:id="1461924238">
          <w:marLeft w:val="0"/>
          <w:marRight w:val="0"/>
          <w:marTop w:val="0"/>
          <w:marBottom w:val="0"/>
          <w:divBdr>
            <w:top w:val="none" w:sz="0" w:space="0" w:color="auto"/>
            <w:left w:val="none" w:sz="0" w:space="0" w:color="auto"/>
            <w:bottom w:val="none" w:sz="0" w:space="0" w:color="auto"/>
            <w:right w:val="none" w:sz="0" w:space="0" w:color="auto"/>
          </w:divBdr>
        </w:div>
        <w:div w:id="859470322">
          <w:marLeft w:val="0"/>
          <w:marRight w:val="0"/>
          <w:marTop w:val="0"/>
          <w:marBottom w:val="0"/>
          <w:divBdr>
            <w:top w:val="none" w:sz="0" w:space="0" w:color="auto"/>
            <w:left w:val="none" w:sz="0" w:space="0" w:color="auto"/>
            <w:bottom w:val="none" w:sz="0" w:space="0" w:color="auto"/>
            <w:right w:val="none" w:sz="0" w:space="0" w:color="auto"/>
          </w:divBdr>
        </w:div>
        <w:div w:id="1924341147">
          <w:marLeft w:val="0"/>
          <w:marRight w:val="0"/>
          <w:marTop w:val="0"/>
          <w:marBottom w:val="0"/>
          <w:divBdr>
            <w:top w:val="none" w:sz="0" w:space="0" w:color="auto"/>
            <w:left w:val="none" w:sz="0" w:space="0" w:color="auto"/>
            <w:bottom w:val="none" w:sz="0" w:space="0" w:color="auto"/>
            <w:right w:val="none" w:sz="0" w:space="0" w:color="auto"/>
          </w:divBdr>
        </w:div>
        <w:div w:id="1730150601">
          <w:marLeft w:val="0"/>
          <w:marRight w:val="0"/>
          <w:marTop w:val="0"/>
          <w:marBottom w:val="0"/>
          <w:divBdr>
            <w:top w:val="none" w:sz="0" w:space="0" w:color="auto"/>
            <w:left w:val="none" w:sz="0" w:space="0" w:color="auto"/>
            <w:bottom w:val="none" w:sz="0" w:space="0" w:color="auto"/>
            <w:right w:val="none" w:sz="0" w:space="0" w:color="auto"/>
          </w:divBdr>
        </w:div>
        <w:div w:id="884096507">
          <w:marLeft w:val="0"/>
          <w:marRight w:val="0"/>
          <w:marTop w:val="0"/>
          <w:marBottom w:val="0"/>
          <w:divBdr>
            <w:top w:val="none" w:sz="0" w:space="0" w:color="auto"/>
            <w:left w:val="none" w:sz="0" w:space="0" w:color="auto"/>
            <w:bottom w:val="none" w:sz="0" w:space="0" w:color="auto"/>
            <w:right w:val="none" w:sz="0" w:space="0" w:color="auto"/>
          </w:divBdr>
        </w:div>
        <w:div w:id="1638074573">
          <w:marLeft w:val="0"/>
          <w:marRight w:val="0"/>
          <w:marTop w:val="0"/>
          <w:marBottom w:val="0"/>
          <w:divBdr>
            <w:top w:val="none" w:sz="0" w:space="0" w:color="auto"/>
            <w:left w:val="none" w:sz="0" w:space="0" w:color="auto"/>
            <w:bottom w:val="none" w:sz="0" w:space="0" w:color="auto"/>
            <w:right w:val="none" w:sz="0" w:space="0" w:color="auto"/>
          </w:divBdr>
        </w:div>
        <w:div w:id="425614073">
          <w:marLeft w:val="0"/>
          <w:marRight w:val="0"/>
          <w:marTop w:val="0"/>
          <w:marBottom w:val="0"/>
          <w:divBdr>
            <w:top w:val="none" w:sz="0" w:space="0" w:color="auto"/>
            <w:left w:val="none" w:sz="0" w:space="0" w:color="auto"/>
            <w:bottom w:val="none" w:sz="0" w:space="0" w:color="auto"/>
            <w:right w:val="none" w:sz="0" w:space="0" w:color="auto"/>
          </w:divBdr>
        </w:div>
        <w:div w:id="515192696">
          <w:marLeft w:val="0"/>
          <w:marRight w:val="0"/>
          <w:marTop w:val="0"/>
          <w:marBottom w:val="0"/>
          <w:divBdr>
            <w:top w:val="none" w:sz="0" w:space="0" w:color="auto"/>
            <w:left w:val="none" w:sz="0" w:space="0" w:color="auto"/>
            <w:bottom w:val="none" w:sz="0" w:space="0" w:color="auto"/>
            <w:right w:val="none" w:sz="0" w:space="0" w:color="auto"/>
          </w:divBdr>
        </w:div>
        <w:div w:id="111095894">
          <w:marLeft w:val="0"/>
          <w:marRight w:val="0"/>
          <w:marTop w:val="0"/>
          <w:marBottom w:val="0"/>
          <w:divBdr>
            <w:top w:val="none" w:sz="0" w:space="0" w:color="auto"/>
            <w:left w:val="none" w:sz="0" w:space="0" w:color="auto"/>
            <w:bottom w:val="none" w:sz="0" w:space="0" w:color="auto"/>
            <w:right w:val="none" w:sz="0" w:space="0" w:color="auto"/>
          </w:divBdr>
        </w:div>
        <w:div w:id="2006929879">
          <w:marLeft w:val="0"/>
          <w:marRight w:val="0"/>
          <w:marTop w:val="0"/>
          <w:marBottom w:val="0"/>
          <w:divBdr>
            <w:top w:val="none" w:sz="0" w:space="0" w:color="auto"/>
            <w:left w:val="none" w:sz="0" w:space="0" w:color="auto"/>
            <w:bottom w:val="none" w:sz="0" w:space="0" w:color="auto"/>
            <w:right w:val="none" w:sz="0" w:space="0" w:color="auto"/>
          </w:divBdr>
        </w:div>
        <w:div w:id="1485049727">
          <w:marLeft w:val="0"/>
          <w:marRight w:val="0"/>
          <w:marTop w:val="0"/>
          <w:marBottom w:val="0"/>
          <w:divBdr>
            <w:top w:val="none" w:sz="0" w:space="0" w:color="auto"/>
            <w:left w:val="none" w:sz="0" w:space="0" w:color="auto"/>
            <w:bottom w:val="none" w:sz="0" w:space="0" w:color="auto"/>
            <w:right w:val="none" w:sz="0" w:space="0" w:color="auto"/>
          </w:divBdr>
        </w:div>
        <w:div w:id="336463825">
          <w:marLeft w:val="0"/>
          <w:marRight w:val="0"/>
          <w:marTop w:val="0"/>
          <w:marBottom w:val="0"/>
          <w:divBdr>
            <w:top w:val="none" w:sz="0" w:space="0" w:color="auto"/>
            <w:left w:val="none" w:sz="0" w:space="0" w:color="auto"/>
            <w:bottom w:val="none" w:sz="0" w:space="0" w:color="auto"/>
            <w:right w:val="none" w:sz="0" w:space="0" w:color="auto"/>
          </w:divBdr>
        </w:div>
        <w:div w:id="2045522204">
          <w:marLeft w:val="0"/>
          <w:marRight w:val="0"/>
          <w:marTop w:val="0"/>
          <w:marBottom w:val="0"/>
          <w:divBdr>
            <w:top w:val="none" w:sz="0" w:space="0" w:color="auto"/>
            <w:left w:val="none" w:sz="0" w:space="0" w:color="auto"/>
            <w:bottom w:val="none" w:sz="0" w:space="0" w:color="auto"/>
            <w:right w:val="none" w:sz="0" w:space="0" w:color="auto"/>
          </w:divBdr>
        </w:div>
        <w:div w:id="142746847">
          <w:marLeft w:val="0"/>
          <w:marRight w:val="0"/>
          <w:marTop w:val="0"/>
          <w:marBottom w:val="0"/>
          <w:divBdr>
            <w:top w:val="none" w:sz="0" w:space="0" w:color="auto"/>
            <w:left w:val="none" w:sz="0" w:space="0" w:color="auto"/>
            <w:bottom w:val="none" w:sz="0" w:space="0" w:color="auto"/>
            <w:right w:val="none" w:sz="0" w:space="0" w:color="auto"/>
          </w:divBdr>
        </w:div>
        <w:div w:id="607932711">
          <w:marLeft w:val="0"/>
          <w:marRight w:val="0"/>
          <w:marTop w:val="0"/>
          <w:marBottom w:val="0"/>
          <w:divBdr>
            <w:top w:val="none" w:sz="0" w:space="0" w:color="auto"/>
            <w:left w:val="none" w:sz="0" w:space="0" w:color="auto"/>
            <w:bottom w:val="none" w:sz="0" w:space="0" w:color="auto"/>
            <w:right w:val="none" w:sz="0" w:space="0" w:color="auto"/>
          </w:divBdr>
        </w:div>
        <w:div w:id="1767189016">
          <w:marLeft w:val="0"/>
          <w:marRight w:val="0"/>
          <w:marTop w:val="0"/>
          <w:marBottom w:val="0"/>
          <w:divBdr>
            <w:top w:val="none" w:sz="0" w:space="0" w:color="auto"/>
            <w:left w:val="none" w:sz="0" w:space="0" w:color="auto"/>
            <w:bottom w:val="none" w:sz="0" w:space="0" w:color="auto"/>
            <w:right w:val="none" w:sz="0" w:space="0" w:color="auto"/>
          </w:divBdr>
        </w:div>
        <w:div w:id="1547135153">
          <w:marLeft w:val="0"/>
          <w:marRight w:val="0"/>
          <w:marTop w:val="0"/>
          <w:marBottom w:val="0"/>
          <w:divBdr>
            <w:top w:val="none" w:sz="0" w:space="0" w:color="auto"/>
            <w:left w:val="none" w:sz="0" w:space="0" w:color="auto"/>
            <w:bottom w:val="none" w:sz="0" w:space="0" w:color="auto"/>
            <w:right w:val="none" w:sz="0" w:space="0" w:color="auto"/>
          </w:divBdr>
        </w:div>
        <w:div w:id="83231938">
          <w:marLeft w:val="0"/>
          <w:marRight w:val="0"/>
          <w:marTop w:val="0"/>
          <w:marBottom w:val="0"/>
          <w:divBdr>
            <w:top w:val="none" w:sz="0" w:space="0" w:color="auto"/>
            <w:left w:val="none" w:sz="0" w:space="0" w:color="auto"/>
            <w:bottom w:val="none" w:sz="0" w:space="0" w:color="auto"/>
            <w:right w:val="none" w:sz="0" w:space="0" w:color="auto"/>
          </w:divBdr>
        </w:div>
        <w:div w:id="36636002">
          <w:marLeft w:val="0"/>
          <w:marRight w:val="0"/>
          <w:marTop w:val="0"/>
          <w:marBottom w:val="0"/>
          <w:divBdr>
            <w:top w:val="none" w:sz="0" w:space="0" w:color="auto"/>
            <w:left w:val="none" w:sz="0" w:space="0" w:color="auto"/>
            <w:bottom w:val="none" w:sz="0" w:space="0" w:color="auto"/>
            <w:right w:val="none" w:sz="0" w:space="0" w:color="auto"/>
          </w:divBdr>
        </w:div>
        <w:div w:id="2014868436">
          <w:marLeft w:val="0"/>
          <w:marRight w:val="0"/>
          <w:marTop w:val="0"/>
          <w:marBottom w:val="0"/>
          <w:divBdr>
            <w:top w:val="none" w:sz="0" w:space="0" w:color="auto"/>
            <w:left w:val="none" w:sz="0" w:space="0" w:color="auto"/>
            <w:bottom w:val="none" w:sz="0" w:space="0" w:color="auto"/>
            <w:right w:val="none" w:sz="0" w:space="0" w:color="auto"/>
          </w:divBdr>
        </w:div>
        <w:div w:id="742797018">
          <w:marLeft w:val="0"/>
          <w:marRight w:val="0"/>
          <w:marTop w:val="0"/>
          <w:marBottom w:val="0"/>
          <w:divBdr>
            <w:top w:val="none" w:sz="0" w:space="0" w:color="auto"/>
            <w:left w:val="none" w:sz="0" w:space="0" w:color="auto"/>
            <w:bottom w:val="none" w:sz="0" w:space="0" w:color="auto"/>
            <w:right w:val="none" w:sz="0" w:space="0" w:color="auto"/>
          </w:divBdr>
        </w:div>
        <w:div w:id="1714385879">
          <w:marLeft w:val="0"/>
          <w:marRight w:val="0"/>
          <w:marTop w:val="0"/>
          <w:marBottom w:val="0"/>
          <w:divBdr>
            <w:top w:val="none" w:sz="0" w:space="0" w:color="auto"/>
            <w:left w:val="none" w:sz="0" w:space="0" w:color="auto"/>
            <w:bottom w:val="none" w:sz="0" w:space="0" w:color="auto"/>
            <w:right w:val="none" w:sz="0" w:space="0" w:color="auto"/>
          </w:divBdr>
        </w:div>
        <w:div w:id="466361338">
          <w:marLeft w:val="0"/>
          <w:marRight w:val="0"/>
          <w:marTop w:val="0"/>
          <w:marBottom w:val="0"/>
          <w:divBdr>
            <w:top w:val="none" w:sz="0" w:space="0" w:color="auto"/>
            <w:left w:val="none" w:sz="0" w:space="0" w:color="auto"/>
            <w:bottom w:val="none" w:sz="0" w:space="0" w:color="auto"/>
            <w:right w:val="none" w:sz="0" w:space="0" w:color="auto"/>
          </w:divBdr>
        </w:div>
        <w:div w:id="1553731807">
          <w:marLeft w:val="0"/>
          <w:marRight w:val="0"/>
          <w:marTop w:val="0"/>
          <w:marBottom w:val="0"/>
          <w:divBdr>
            <w:top w:val="none" w:sz="0" w:space="0" w:color="auto"/>
            <w:left w:val="none" w:sz="0" w:space="0" w:color="auto"/>
            <w:bottom w:val="none" w:sz="0" w:space="0" w:color="auto"/>
            <w:right w:val="none" w:sz="0" w:space="0" w:color="auto"/>
          </w:divBdr>
        </w:div>
        <w:div w:id="1410037668">
          <w:marLeft w:val="0"/>
          <w:marRight w:val="0"/>
          <w:marTop w:val="0"/>
          <w:marBottom w:val="0"/>
          <w:divBdr>
            <w:top w:val="none" w:sz="0" w:space="0" w:color="auto"/>
            <w:left w:val="none" w:sz="0" w:space="0" w:color="auto"/>
            <w:bottom w:val="none" w:sz="0" w:space="0" w:color="auto"/>
            <w:right w:val="none" w:sz="0" w:space="0" w:color="auto"/>
          </w:divBdr>
        </w:div>
        <w:div w:id="2126806143">
          <w:marLeft w:val="0"/>
          <w:marRight w:val="0"/>
          <w:marTop w:val="0"/>
          <w:marBottom w:val="0"/>
          <w:divBdr>
            <w:top w:val="none" w:sz="0" w:space="0" w:color="auto"/>
            <w:left w:val="none" w:sz="0" w:space="0" w:color="auto"/>
            <w:bottom w:val="none" w:sz="0" w:space="0" w:color="auto"/>
            <w:right w:val="none" w:sz="0" w:space="0" w:color="auto"/>
          </w:divBdr>
        </w:div>
        <w:div w:id="899436759">
          <w:marLeft w:val="0"/>
          <w:marRight w:val="0"/>
          <w:marTop w:val="0"/>
          <w:marBottom w:val="0"/>
          <w:divBdr>
            <w:top w:val="none" w:sz="0" w:space="0" w:color="auto"/>
            <w:left w:val="none" w:sz="0" w:space="0" w:color="auto"/>
            <w:bottom w:val="none" w:sz="0" w:space="0" w:color="auto"/>
            <w:right w:val="none" w:sz="0" w:space="0" w:color="auto"/>
          </w:divBdr>
        </w:div>
        <w:div w:id="1774083368">
          <w:marLeft w:val="0"/>
          <w:marRight w:val="0"/>
          <w:marTop w:val="0"/>
          <w:marBottom w:val="0"/>
          <w:divBdr>
            <w:top w:val="none" w:sz="0" w:space="0" w:color="auto"/>
            <w:left w:val="none" w:sz="0" w:space="0" w:color="auto"/>
            <w:bottom w:val="none" w:sz="0" w:space="0" w:color="auto"/>
            <w:right w:val="none" w:sz="0" w:space="0" w:color="auto"/>
          </w:divBdr>
        </w:div>
        <w:div w:id="1709455336">
          <w:marLeft w:val="0"/>
          <w:marRight w:val="0"/>
          <w:marTop w:val="0"/>
          <w:marBottom w:val="0"/>
          <w:divBdr>
            <w:top w:val="none" w:sz="0" w:space="0" w:color="auto"/>
            <w:left w:val="none" w:sz="0" w:space="0" w:color="auto"/>
            <w:bottom w:val="none" w:sz="0" w:space="0" w:color="auto"/>
            <w:right w:val="none" w:sz="0" w:space="0" w:color="auto"/>
          </w:divBdr>
        </w:div>
        <w:div w:id="1286473468">
          <w:marLeft w:val="0"/>
          <w:marRight w:val="0"/>
          <w:marTop w:val="0"/>
          <w:marBottom w:val="0"/>
          <w:divBdr>
            <w:top w:val="none" w:sz="0" w:space="0" w:color="auto"/>
            <w:left w:val="none" w:sz="0" w:space="0" w:color="auto"/>
            <w:bottom w:val="none" w:sz="0" w:space="0" w:color="auto"/>
            <w:right w:val="none" w:sz="0" w:space="0" w:color="auto"/>
          </w:divBdr>
        </w:div>
        <w:div w:id="120929786">
          <w:marLeft w:val="0"/>
          <w:marRight w:val="0"/>
          <w:marTop w:val="0"/>
          <w:marBottom w:val="0"/>
          <w:divBdr>
            <w:top w:val="none" w:sz="0" w:space="0" w:color="auto"/>
            <w:left w:val="none" w:sz="0" w:space="0" w:color="auto"/>
            <w:bottom w:val="none" w:sz="0" w:space="0" w:color="auto"/>
            <w:right w:val="none" w:sz="0" w:space="0" w:color="auto"/>
          </w:divBdr>
        </w:div>
        <w:div w:id="1065907337">
          <w:marLeft w:val="0"/>
          <w:marRight w:val="0"/>
          <w:marTop w:val="0"/>
          <w:marBottom w:val="0"/>
          <w:divBdr>
            <w:top w:val="none" w:sz="0" w:space="0" w:color="auto"/>
            <w:left w:val="none" w:sz="0" w:space="0" w:color="auto"/>
            <w:bottom w:val="none" w:sz="0" w:space="0" w:color="auto"/>
            <w:right w:val="none" w:sz="0" w:space="0" w:color="auto"/>
          </w:divBdr>
        </w:div>
        <w:div w:id="1623879520">
          <w:marLeft w:val="0"/>
          <w:marRight w:val="0"/>
          <w:marTop w:val="0"/>
          <w:marBottom w:val="0"/>
          <w:divBdr>
            <w:top w:val="none" w:sz="0" w:space="0" w:color="auto"/>
            <w:left w:val="none" w:sz="0" w:space="0" w:color="auto"/>
            <w:bottom w:val="none" w:sz="0" w:space="0" w:color="auto"/>
            <w:right w:val="none" w:sz="0" w:space="0" w:color="auto"/>
          </w:divBdr>
        </w:div>
        <w:div w:id="1331298399">
          <w:marLeft w:val="0"/>
          <w:marRight w:val="0"/>
          <w:marTop w:val="0"/>
          <w:marBottom w:val="0"/>
          <w:divBdr>
            <w:top w:val="none" w:sz="0" w:space="0" w:color="auto"/>
            <w:left w:val="none" w:sz="0" w:space="0" w:color="auto"/>
            <w:bottom w:val="none" w:sz="0" w:space="0" w:color="auto"/>
            <w:right w:val="none" w:sz="0" w:space="0" w:color="auto"/>
          </w:divBdr>
        </w:div>
        <w:div w:id="1084180722">
          <w:marLeft w:val="0"/>
          <w:marRight w:val="0"/>
          <w:marTop w:val="0"/>
          <w:marBottom w:val="0"/>
          <w:divBdr>
            <w:top w:val="none" w:sz="0" w:space="0" w:color="auto"/>
            <w:left w:val="none" w:sz="0" w:space="0" w:color="auto"/>
            <w:bottom w:val="none" w:sz="0" w:space="0" w:color="auto"/>
            <w:right w:val="none" w:sz="0" w:space="0" w:color="auto"/>
          </w:divBdr>
        </w:div>
        <w:div w:id="330910720">
          <w:marLeft w:val="0"/>
          <w:marRight w:val="0"/>
          <w:marTop w:val="0"/>
          <w:marBottom w:val="0"/>
          <w:divBdr>
            <w:top w:val="none" w:sz="0" w:space="0" w:color="auto"/>
            <w:left w:val="none" w:sz="0" w:space="0" w:color="auto"/>
            <w:bottom w:val="none" w:sz="0" w:space="0" w:color="auto"/>
            <w:right w:val="none" w:sz="0" w:space="0" w:color="auto"/>
          </w:divBdr>
        </w:div>
        <w:div w:id="688022757">
          <w:marLeft w:val="0"/>
          <w:marRight w:val="0"/>
          <w:marTop w:val="0"/>
          <w:marBottom w:val="0"/>
          <w:divBdr>
            <w:top w:val="none" w:sz="0" w:space="0" w:color="auto"/>
            <w:left w:val="none" w:sz="0" w:space="0" w:color="auto"/>
            <w:bottom w:val="none" w:sz="0" w:space="0" w:color="auto"/>
            <w:right w:val="none" w:sz="0" w:space="0" w:color="auto"/>
          </w:divBdr>
        </w:div>
        <w:div w:id="1145971030">
          <w:marLeft w:val="0"/>
          <w:marRight w:val="0"/>
          <w:marTop w:val="0"/>
          <w:marBottom w:val="0"/>
          <w:divBdr>
            <w:top w:val="none" w:sz="0" w:space="0" w:color="auto"/>
            <w:left w:val="none" w:sz="0" w:space="0" w:color="auto"/>
            <w:bottom w:val="none" w:sz="0" w:space="0" w:color="auto"/>
            <w:right w:val="none" w:sz="0" w:space="0" w:color="auto"/>
          </w:divBdr>
        </w:div>
        <w:div w:id="1698657711">
          <w:marLeft w:val="0"/>
          <w:marRight w:val="0"/>
          <w:marTop w:val="0"/>
          <w:marBottom w:val="0"/>
          <w:divBdr>
            <w:top w:val="none" w:sz="0" w:space="0" w:color="auto"/>
            <w:left w:val="none" w:sz="0" w:space="0" w:color="auto"/>
            <w:bottom w:val="none" w:sz="0" w:space="0" w:color="auto"/>
            <w:right w:val="none" w:sz="0" w:space="0" w:color="auto"/>
          </w:divBdr>
        </w:div>
        <w:div w:id="1888487990">
          <w:marLeft w:val="0"/>
          <w:marRight w:val="0"/>
          <w:marTop w:val="0"/>
          <w:marBottom w:val="0"/>
          <w:divBdr>
            <w:top w:val="none" w:sz="0" w:space="0" w:color="auto"/>
            <w:left w:val="none" w:sz="0" w:space="0" w:color="auto"/>
            <w:bottom w:val="none" w:sz="0" w:space="0" w:color="auto"/>
            <w:right w:val="none" w:sz="0" w:space="0" w:color="auto"/>
          </w:divBdr>
        </w:div>
        <w:div w:id="839003591">
          <w:marLeft w:val="0"/>
          <w:marRight w:val="0"/>
          <w:marTop w:val="0"/>
          <w:marBottom w:val="0"/>
          <w:divBdr>
            <w:top w:val="none" w:sz="0" w:space="0" w:color="auto"/>
            <w:left w:val="none" w:sz="0" w:space="0" w:color="auto"/>
            <w:bottom w:val="none" w:sz="0" w:space="0" w:color="auto"/>
            <w:right w:val="none" w:sz="0" w:space="0" w:color="auto"/>
          </w:divBdr>
        </w:div>
        <w:div w:id="928923266">
          <w:marLeft w:val="0"/>
          <w:marRight w:val="0"/>
          <w:marTop w:val="0"/>
          <w:marBottom w:val="0"/>
          <w:divBdr>
            <w:top w:val="none" w:sz="0" w:space="0" w:color="auto"/>
            <w:left w:val="none" w:sz="0" w:space="0" w:color="auto"/>
            <w:bottom w:val="none" w:sz="0" w:space="0" w:color="auto"/>
            <w:right w:val="none" w:sz="0" w:space="0" w:color="auto"/>
          </w:divBdr>
        </w:div>
        <w:div w:id="155998910">
          <w:marLeft w:val="0"/>
          <w:marRight w:val="0"/>
          <w:marTop w:val="0"/>
          <w:marBottom w:val="0"/>
          <w:divBdr>
            <w:top w:val="none" w:sz="0" w:space="0" w:color="auto"/>
            <w:left w:val="none" w:sz="0" w:space="0" w:color="auto"/>
            <w:bottom w:val="none" w:sz="0" w:space="0" w:color="auto"/>
            <w:right w:val="none" w:sz="0" w:space="0" w:color="auto"/>
          </w:divBdr>
        </w:div>
        <w:div w:id="1295061669">
          <w:marLeft w:val="0"/>
          <w:marRight w:val="0"/>
          <w:marTop w:val="0"/>
          <w:marBottom w:val="0"/>
          <w:divBdr>
            <w:top w:val="none" w:sz="0" w:space="0" w:color="auto"/>
            <w:left w:val="none" w:sz="0" w:space="0" w:color="auto"/>
            <w:bottom w:val="none" w:sz="0" w:space="0" w:color="auto"/>
            <w:right w:val="none" w:sz="0" w:space="0" w:color="auto"/>
          </w:divBdr>
        </w:div>
        <w:div w:id="1499734356">
          <w:marLeft w:val="0"/>
          <w:marRight w:val="0"/>
          <w:marTop w:val="0"/>
          <w:marBottom w:val="0"/>
          <w:divBdr>
            <w:top w:val="none" w:sz="0" w:space="0" w:color="auto"/>
            <w:left w:val="none" w:sz="0" w:space="0" w:color="auto"/>
            <w:bottom w:val="none" w:sz="0" w:space="0" w:color="auto"/>
            <w:right w:val="none" w:sz="0" w:space="0" w:color="auto"/>
          </w:divBdr>
        </w:div>
        <w:div w:id="657617499">
          <w:marLeft w:val="0"/>
          <w:marRight w:val="0"/>
          <w:marTop w:val="0"/>
          <w:marBottom w:val="0"/>
          <w:divBdr>
            <w:top w:val="none" w:sz="0" w:space="0" w:color="auto"/>
            <w:left w:val="none" w:sz="0" w:space="0" w:color="auto"/>
            <w:bottom w:val="none" w:sz="0" w:space="0" w:color="auto"/>
            <w:right w:val="none" w:sz="0" w:space="0" w:color="auto"/>
          </w:divBdr>
        </w:div>
        <w:div w:id="1149203484">
          <w:marLeft w:val="0"/>
          <w:marRight w:val="0"/>
          <w:marTop w:val="0"/>
          <w:marBottom w:val="0"/>
          <w:divBdr>
            <w:top w:val="none" w:sz="0" w:space="0" w:color="auto"/>
            <w:left w:val="none" w:sz="0" w:space="0" w:color="auto"/>
            <w:bottom w:val="none" w:sz="0" w:space="0" w:color="auto"/>
            <w:right w:val="none" w:sz="0" w:space="0" w:color="auto"/>
          </w:divBdr>
        </w:div>
        <w:div w:id="76371362">
          <w:marLeft w:val="0"/>
          <w:marRight w:val="0"/>
          <w:marTop w:val="0"/>
          <w:marBottom w:val="0"/>
          <w:divBdr>
            <w:top w:val="none" w:sz="0" w:space="0" w:color="auto"/>
            <w:left w:val="none" w:sz="0" w:space="0" w:color="auto"/>
            <w:bottom w:val="none" w:sz="0" w:space="0" w:color="auto"/>
            <w:right w:val="none" w:sz="0" w:space="0" w:color="auto"/>
          </w:divBdr>
        </w:div>
        <w:div w:id="1014838518">
          <w:marLeft w:val="0"/>
          <w:marRight w:val="0"/>
          <w:marTop w:val="0"/>
          <w:marBottom w:val="0"/>
          <w:divBdr>
            <w:top w:val="none" w:sz="0" w:space="0" w:color="auto"/>
            <w:left w:val="none" w:sz="0" w:space="0" w:color="auto"/>
            <w:bottom w:val="none" w:sz="0" w:space="0" w:color="auto"/>
            <w:right w:val="none" w:sz="0" w:space="0" w:color="auto"/>
          </w:divBdr>
        </w:div>
        <w:div w:id="1222208393">
          <w:marLeft w:val="0"/>
          <w:marRight w:val="0"/>
          <w:marTop w:val="0"/>
          <w:marBottom w:val="0"/>
          <w:divBdr>
            <w:top w:val="none" w:sz="0" w:space="0" w:color="auto"/>
            <w:left w:val="none" w:sz="0" w:space="0" w:color="auto"/>
            <w:bottom w:val="none" w:sz="0" w:space="0" w:color="auto"/>
            <w:right w:val="none" w:sz="0" w:space="0" w:color="auto"/>
          </w:divBdr>
        </w:div>
        <w:div w:id="429742326">
          <w:marLeft w:val="0"/>
          <w:marRight w:val="0"/>
          <w:marTop w:val="0"/>
          <w:marBottom w:val="0"/>
          <w:divBdr>
            <w:top w:val="none" w:sz="0" w:space="0" w:color="auto"/>
            <w:left w:val="none" w:sz="0" w:space="0" w:color="auto"/>
            <w:bottom w:val="none" w:sz="0" w:space="0" w:color="auto"/>
            <w:right w:val="none" w:sz="0" w:space="0" w:color="auto"/>
          </w:divBdr>
        </w:div>
        <w:div w:id="1999844149">
          <w:marLeft w:val="0"/>
          <w:marRight w:val="0"/>
          <w:marTop w:val="0"/>
          <w:marBottom w:val="0"/>
          <w:divBdr>
            <w:top w:val="none" w:sz="0" w:space="0" w:color="auto"/>
            <w:left w:val="none" w:sz="0" w:space="0" w:color="auto"/>
            <w:bottom w:val="none" w:sz="0" w:space="0" w:color="auto"/>
            <w:right w:val="none" w:sz="0" w:space="0" w:color="auto"/>
          </w:divBdr>
        </w:div>
        <w:div w:id="556940279">
          <w:marLeft w:val="0"/>
          <w:marRight w:val="0"/>
          <w:marTop w:val="0"/>
          <w:marBottom w:val="0"/>
          <w:divBdr>
            <w:top w:val="none" w:sz="0" w:space="0" w:color="auto"/>
            <w:left w:val="none" w:sz="0" w:space="0" w:color="auto"/>
            <w:bottom w:val="none" w:sz="0" w:space="0" w:color="auto"/>
            <w:right w:val="none" w:sz="0" w:space="0" w:color="auto"/>
          </w:divBdr>
        </w:div>
        <w:div w:id="2073038797">
          <w:marLeft w:val="0"/>
          <w:marRight w:val="0"/>
          <w:marTop w:val="0"/>
          <w:marBottom w:val="0"/>
          <w:divBdr>
            <w:top w:val="none" w:sz="0" w:space="0" w:color="auto"/>
            <w:left w:val="none" w:sz="0" w:space="0" w:color="auto"/>
            <w:bottom w:val="none" w:sz="0" w:space="0" w:color="auto"/>
            <w:right w:val="none" w:sz="0" w:space="0" w:color="auto"/>
          </w:divBdr>
        </w:div>
        <w:div w:id="816845382">
          <w:marLeft w:val="0"/>
          <w:marRight w:val="0"/>
          <w:marTop w:val="0"/>
          <w:marBottom w:val="0"/>
          <w:divBdr>
            <w:top w:val="none" w:sz="0" w:space="0" w:color="auto"/>
            <w:left w:val="none" w:sz="0" w:space="0" w:color="auto"/>
            <w:bottom w:val="none" w:sz="0" w:space="0" w:color="auto"/>
            <w:right w:val="none" w:sz="0" w:space="0" w:color="auto"/>
          </w:divBdr>
        </w:div>
        <w:div w:id="359167962">
          <w:marLeft w:val="0"/>
          <w:marRight w:val="0"/>
          <w:marTop w:val="0"/>
          <w:marBottom w:val="0"/>
          <w:divBdr>
            <w:top w:val="none" w:sz="0" w:space="0" w:color="auto"/>
            <w:left w:val="none" w:sz="0" w:space="0" w:color="auto"/>
            <w:bottom w:val="none" w:sz="0" w:space="0" w:color="auto"/>
            <w:right w:val="none" w:sz="0" w:space="0" w:color="auto"/>
          </w:divBdr>
        </w:div>
        <w:div w:id="58672309">
          <w:marLeft w:val="0"/>
          <w:marRight w:val="0"/>
          <w:marTop w:val="0"/>
          <w:marBottom w:val="0"/>
          <w:divBdr>
            <w:top w:val="none" w:sz="0" w:space="0" w:color="auto"/>
            <w:left w:val="none" w:sz="0" w:space="0" w:color="auto"/>
            <w:bottom w:val="none" w:sz="0" w:space="0" w:color="auto"/>
            <w:right w:val="none" w:sz="0" w:space="0" w:color="auto"/>
          </w:divBdr>
        </w:div>
        <w:div w:id="1837452091">
          <w:marLeft w:val="0"/>
          <w:marRight w:val="0"/>
          <w:marTop w:val="0"/>
          <w:marBottom w:val="0"/>
          <w:divBdr>
            <w:top w:val="none" w:sz="0" w:space="0" w:color="auto"/>
            <w:left w:val="none" w:sz="0" w:space="0" w:color="auto"/>
            <w:bottom w:val="none" w:sz="0" w:space="0" w:color="auto"/>
            <w:right w:val="none" w:sz="0" w:space="0" w:color="auto"/>
          </w:divBdr>
        </w:div>
        <w:div w:id="670524130">
          <w:marLeft w:val="0"/>
          <w:marRight w:val="0"/>
          <w:marTop w:val="0"/>
          <w:marBottom w:val="0"/>
          <w:divBdr>
            <w:top w:val="none" w:sz="0" w:space="0" w:color="auto"/>
            <w:left w:val="none" w:sz="0" w:space="0" w:color="auto"/>
            <w:bottom w:val="none" w:sz="0" w:space="0" w:color="auto"/>
            <w:right w:val="none" w:sz="0" w:space="0" w:color="auto"/>
          </w:divBdr>
        </w:div>
        <w:div w:id="632832428">
          <w:marLeft w:val="0"/>
          <w:marRight w:val="0"/>
          <w:marTop w:val="0"/>
          <w:marBottom w:val="0"/>
          <w:divBdr>
            <w:top w:val="none" w:sz="0" w:space="0" w:color="auto"/>
            <w:left w:val="none" w:sz="0" w:space="0" w:color="auto"/>
            <w:bottom w:val="none" w:sz="0" w:space="0" w:color="auto"/>
            <w:right w:val="none" w:sz="0" w:space="0" w:color="auto"/>
          </w:divBdr>
        </w:div>
        <w:div w:id="2053650444">
          <w:marLeft w:val="0"/>
          <w:marRight w:val="0"/>
          <w:marTop w:val="0"/>
          <w:marBottom w:val="0"/>
          <w:divBdr>
            <w:top w:val="none" w:sz="0" w:space="0" w:color="auto"/>
            <w:left w:val="none" w:sz="0" w:space="0" w:color="auto"/>
            <w:bottom w:val="none" w:sz="0" w:space="0" w:color="auto"/>
            <w:right w:val="none" w:sz="0" w:space="0" w:color="auto"/>
          </w:divBdr>
        </w:div>
        <w:div w:id="964576709">
          <w:marLeft w:val="0"/>
          <w:marRight w:val="0"/>
          <w:marTop w:val="0"/>
          <w:marBottom w:val="0"/>
          <w:divBdr>
            <w:top w:val="none" w:sz="0" w:space="0" w:color="auto"/>
            <w:left w:val="none" w:sz="0" w:space="0" w:color="auto"/>
            <w:bottom w:val="none" w:sz="0" w:space="0" w:color="auto"/>
            <w:right w:val="none" w:sz="0" w:space="0" w:color="auto"/>
          </w:divBdr>
        </w:div>
        <w:div w:id="573977340">
          <w:marLeft w:val="0"/>
          <w:marRight w:val="0"/>
          <w:marTop w:val="0"/>
          <w:marBottom w:val="0"/>
          <w:divBdr>
            <w:top w:val="none" w:sz="0" w:space="0" w:color="auto"/>
            <w:left w:val="none" w:sz="0" w:space="0" w:color="auto"/>
            <w:bottom w:val="none" w:sz="0" w:space="0" w:color="auto"/>
            <w:right w:val="none" w:sz="0" w:space="0" w:color="auto"/>
          </w:divBdr>
        </w:div>
        <w:div w:id="121389323">
          <w:marLeft w:val="0"/>
          <w:marRight w:val="0"/>
          <w:marTop w:val="0"/>
          <w:marBottom w:val="0"/>
          <w:divBdr>
            <w:top w:val="none" w:sz="0" w:space="0" w:color="auto"/>
            <w:left w:val="none" w:sz="0" w:space="0" w:color="auto"/>
            <w:bottom w:val="none" w:sz="0" w:space="0" w:color="auto"/>
            <w:right w:val="none" w:sz="0" w:space="0" w:color="auto"/>
          </w:divBdr>
        </w:div>
        <w:div w:id="1688290157">
          <w:marLeft w:val="0"/>
          <w:marRight w:val="0"/>
          <w:marTop w:val="0"/>
          <w:marBottom w:val="0"/>
          <w:divBdr>
            <w:top w:val="none" w:sz="0" w:space="0" w:color="auto"/>
            <w:left w:val="none" w:sz="0" w:space="0" w:color="auto"/>
            <w:bottom w:val="none" w:sz="0" w:space="0" w:color="auto"/>
            <w:right w:val="none" w:sz="0" w:space="0" w:color="auto"/>
          </w:divBdr>
        </w:div>
        <w:div w:id="1347705978">
          <w:marLeft w:val="0"/>
          <w:marRight w:val="0"/>
          <w:marTop w:val="0"/>
          <w:marBottom w:val="0"/>
          <w:divBdr>
            <w:top w:val="none" w:sz="0" w:space="0" w:color="auto"/>
            <w:left w:val="none" w:sz="0" w:space="0" w:color="auto"/>
            <w:bottom w:val="none" w:sz="0" w:space="0" w:color="auto"/>
            <w:right w:val="none" w:sz="0" w:space="0" w:color="auto"/>
          </w:divBdr>
        </w:div>
        <w:div w:id="1486360973">
          <w:marLeft w:val="0"/>
          <w:marRight w:val="0"/>
          <w:marTop w:val="0"/>
          <w:marBottom w:val="0"/>
          <w:divBdr>
            <w:top w:val="none" w:sz="0" w:space="0" w:color="auto"/>
            <w:left w:val="none" w:sz="0" w:space="0" w:color="auto"/>
            <w:bottom w:val="none" w:sz="0" w:space="0" w:color="auto"/>
            <w:right w:val="none" w:sz="0" w:space="0" w:color="auto"/>
          </w:divBdr>
        </w:div>
        <w:div w:id="1637949610">
          <w:marLeft w:val="0"/>
          <w:marRight w:val="0"/>
          <w:marTop w:val="0"/>
          <w:marBottom w:val="0"/>
          <w:divBdr>
            <w:top w:val="none" w:sz="0" w:space="0" w:color="auto"/>
            <w:left w:val="none" w:sz="0" w:space="0" w:color="auto"/>
            <w:bottom w:val="none" w:sz="0" w:space="0" w:color="auto"/>
            <w:right w:val="none" w:sz="0" w:space="0" w:color="auto"/>
          </w:divBdr>
        </w:div>
        <w:div w:id="937717238">
          <w:marLeft w:val="0"/>
          <w:marRight w:val="0"/>
          <w:marTop w:val="0"/>
          <w:marBottom w:val="0"/>
          <w:divBdr>
            <w:top w:val="none" w:sz="0" w:space="0" w:color="auto"/>
            <w:left w:val="none" w:sz="0" w:space="0" w:color="auto"/>
            <w:bottom w:val="none" w:sz="0" w:space="0" w:color="auto"/>
            <w:right w:val="none" w:sz="0" w:space="0" w:color="auto"/>
          </w:divBdr>
        </w:div>
        <w:div w:id="307828619">
          <w:marLeft w:val="0"/>
          <w:marRight w:val="0"/>
          <w:marTop w:val="0"/>
          <w:marBottom w:val="0"/>
          <w:divBdr>
            <w:top w:val="none" w:sz="0" w:space="0" w:color="auto"/>
            <w:left w:val="none" w:sz="0" w:space="0" w:color="auto"/>
            <w:bottom w:val="none" w:sz="0" w:space="0" w:color="auto"/>
            <w:right w:val="none" w:sz="0" w:space="0" w:color="auto"/>
          </w:divBdr>
        </w:div>
        <w:div w:id="967053474">
          <w:marLeft w:val="0"/>
          <w:marRight w:val="0"/>
          <w:marTop w:val="0"/>
          <w:marBottom w:val="0"/>
          <w:divBdr>
            <w:top w:val="none" w:sz="0" w:space="0" w:color="auto"/>
            <w:left w:val="none" w:sz="0" w:space="0" w:color="auto"/>
            <w:bottom w:val="none" w:sz="0" w:space="0" w:color="auto"/>
            <w:right w:val="none" w:sz="0" w:space="0" w:color="auto"/>
          </w:divBdr>
        </w:div>
        <w:div w:id="721906736">
          <w:marLeft w:val="0"/>
          <w:marRight w:val="0"/>
          <w:marTop w:val="0"/>
          <w:marBottom w:val="0"/>
          <w:divBdr>
            <w:top w:val="none" w:sz="0" w:space="0" w:color="auto"/>
            <w:left w:val="none" w:sz="0" w:space="0" w:color="auto"/>
            <w:bottom w:val="none" w:sz="0" w:space="0" w:color="auto"/>
            <w:right w:val="none" w:sz="0" w:space="0" w:color="auto"/>
          </w:divBdr>
        </w:div>
        <w:div w:id="495191652">
          <w:marLeft w:val="0"/>
          <w:marRight w:val="0"/>
          <w:marTop w:val="0"/>
          <w:marBottom w:val="0"/>
          <w:divBdr>
            <w:top w:val="none" w:sz="0" w:space="0" w:color="auto"/>
            <w:left w:val="none" w:sz="0" w:space="0" w:color="auto"/>
            <w:bottom w:val="none" w:sz="0" w:space="0" w:color="auto"/>
            <w:right w:val="none" w:sz="0" w:space="0" w:color="auto"/>
          </w:divBdr>
        </w:div>
        <w:div w:id="1175878332">
          <w:marLeft w:val="0"/>
          <w:marRight w:val="0"/>
          <w:marTop w:val="0"/>
          <w:marBottom w:val="0"/>
          <w:divBdr>
            <w:top w:val="none" w:sz="0" w:space="0" w:color="auto"/>
            <w:left w:val="none" w:sz="0" w:space="0" w:color="auto"/>
            <w:bottom w:val="none" w:sz="0" w:space="0" w:color="auto"/>
            <w:right w:val="none" w:sz="0" w:space="0" w:color="auto"/>
          </w:divBdr>
        </w:div>
        <w:div w:id="835146419">
          <w:marLeft w:val="0"/>
          <w:marRight w:val="0"/>
          <w:marTop w:val="0"/>
          <w:marBottom w:val="0"/>
          <w:divBdr>
            <w:top w:val="none" w:sz="0" w:space="0" w:color="auto"/>
            <w:left w:val="none" w:sz="0" w:space="0" w:color="auto"/>
            <w:bottom w:val="none" w:sz="0" w:space="0" w:color="auto"/>
            <w:right w:val="none" w:sz="0" w:space="0" w:color="auto"/>
          </w:divBdr>
        </w:div>
        <w:div w:id="951980676">
          <w:marLeft w:val="0"/>
          <w:marRight w:val="0"/>
          <w:marTop w:val="0"/>
          <w:marBottom w:val="0"/>
          <w:divBdr>
            <w:top w:val="none" w:sz="0" w:space="0" w:color="auto"/>
            <w:left w:val="none" w:sz="0" w:space="0" w:color="auto"/>
            <w:bottom w:val="none" w:sz="0" w:space="0" w:color="auto"/>
            <w:right w:val="none" w:sz="0" w:space="0" w:color="auto"/>
          </w:divBdr>
        </w:div>
        <w:div w:id="1886065849">
          <w:marLeft w:val="0"/>
          <w:marRight w:val="0"/>
          <w:marTop w:val="0"/>
          <w:marBottom w:val="0"/>
          <w:divBdr>
            <w:top w:val="none" w:sz="0" w:space="0" w:color="auto"/>
            <w:left w:val="none" w:sz="0" w:space="0" w:color="auto"/>
            <w:bottom w:val="none" w:sz="0" w:space="0" w:color="auto"/>
            <w:right w:val="none" w:sz="0" w:space="0" w:color="auto"/>
          </w:divBdr>
        </w:div>
        <w:div w:id="119032873">
          <w:marLeft w:val="0"/>
          <w:marRight w:val="0"/>
          <w:marTop w:val="0"/>
          <w:marBottom w:val="0"/>
          <w:divBdr>
            <w:top w:val="none" w:sz="0" w:space="0" w:color="auto"/>
            <w:left w:val="none" w:sz="0" w:space="0" w:color="auto"/>
            <w:bottom w:val="none" w:sz="0" w:space="0" w:color="auto"/>
            <w:right w:val="none" w:sz="0" w:space="0" w:color="auto"/>
          </w:divBdr>
        </w:div>
        <w:div w:id="1564295299">
          <w:marLeft w:val="0"/>
          <w:marRight w:val="0"/>
          <w:marTop w:val="0"/>
          <w:marBottom w:val="0"/>
          <w:divBdr>
            <w:top w:val="none" w:sz="0" w:space="0" w:color="auto"/>
            <w:left w:val="none" w:sz="0" w:space="0" w:color="auto"/>
            <w:bottom w:val="none" w:sz="0" w:space="0" w:color="auto"/>
            <w:right w:val="none" w:sz="0" w:space="0" w:color="auto"/>
          </w:divBdr>
        </w:div>
        <w:div w:id="1785685794">
          <w:marLeft w:val="0"/>
          <w:marRight w:val="0"/>
          <w:marTop w:val="0"/>
          <w:marBottom w:val="0"/>
          <w:divBdr>
            <w:top w:val="none" w:sz="0" w:space="0" w:color="auto"/>
            <w:left w:val="none" w:sz="0" w:space="0" w:color="auto"/>
            <w:bottom w:val="none" w:sz="0" w:space="0" w:color="auto"/>
            <w:right w:val="none" w:sz="0" w:space="0" w:color="auto"/>
          </w:divBdr>
        </w:div>
        <w:div w:id="631181081">
          <w:marLeft w:val="0"/>
          <w:marRight w:val="0"/>
          <w:marTop w:val="0"/>
          <w:marBottom w:val="0"/>
          <w:divBdr>
            <w:top w:val="none" w:sz="0" w:space="0" w:color="auto"/>
            <w:left w:val="none" w:sz="0" w:space="0" w:color="auto"/>
            <w:bottom w:val="none" w:sz="0" w:space="0" w:color="auto"/>
            <w:right w:val="none" w:sz="0" w:space="0" w:color="auto"/>
          </w:divBdr>
        </w:div>
        <w:div w:id="1355884811">
          <w:marLeft w:val="0"/>
          <w:marRight w:val="0"/>
          <w:marTop w:val="0"/>
          <w:marBottom w:val="0"/>
          <w:divBdr>
            <w:top w:val="none" w:sz="0" w:space="0" w:color="auto"/>
            <w:left w:val="none" w:sz="0" w:space="0" w:color="auto"/>
            <w:bottom w:val="none" w:sz="0" w:space="0" w:color="auto"/>
            <w:right w:val="none" w:sz="0" w:space="0" w:color="auto"/>
          </w:divBdr>
        </w:div>
        <w:div w:id="649024206">
          <w:marLeft w:val="0"/>
          <w:marRight w:val="0"/>
          <w:marTop w:val="0"/>
          <w:marBottom w:val="0"/>
          <w:divBdr>
            <w:top w:val="none" w:sz="0" w:space="0" w:color="auto"/>
            <w:left w:val="none" w:sz="0" w:space="0" w:color="auto"/>
            <w:bottom w:val="none" w:sz="0" w:space="0" w:color="auto"/>
            <w:right w:val="none" w:sz="0" w:space="0" w:color="auto"/>
          </w:divBdr>
        </w:div>
        <w:div w:id="1047529648">
          <w:marLeft w:val="0"/>
          <w:marRight w:val="0"/>
          <w:marTop w:val="0"/>
          <w:marBottom w:val="0"/>
          <w:divBdr>
            <w:top w:val="none" w:sz="0" w:space="0" w:color="auto"/>
            <w:left w:val="none" w:sz="0" w:space="0" w:color="auto"/>
            <w:bottom w:val="none" w:sz="0" w:space="0" w:color="auto"/>
            <w:right w:val="none" w:sz="0" w:space="0" w:color="auto"/>
          </w:divBdr>
        </w:div>
        <w:div w:id="1328561056">
          <w:marLeft w:val="0"/>
          <w:marRight w:val="0"/>
          <w:marTop w:val="0"/>
          <w:marBottom w:val="0"/>
          <w:divBdr>
            <w:top w:val="none" w:sz="0" w:space="0" w:color="auto"/>
            <w:left w:val="none" w:sz="0" w:space="0" w:color="auto"/>
            <w:bottom w:val="none" w:sz="0" w:space="0" w:color="auto"/>
            <w:right w:val="none" w:sz="0" w:space="0" w:color="auto"/>
          </w:divBdr>
        </w:div>
        <w:div w:id="216474678">
          <w:marLeft w:val="0"/>
          <w:marRight w:val="0"/>
          <w:marTop w:val="0"/>
          <w:marBottom w:val="0"/>
          <w:divBdr>
            <w:top w:val="none" w:sz="0" w:space="0" w:color="auto"/>
            <w:left w:val="none" w:sz="0" w:space="0" w:color="auto"/>
            <w:bottom w:val="none" w:sz="0" w:space="0" w:color="auto"/>
            <w:right w:val="none" w:sz="0" w:space="0" w:color="auto"/>
          </w:divBdr>
        </w:div>
        <w:div w:id="1220020279">
          <w:marLeft w:val="0"/>
          <w:marRight w:val="0"/>
          <w:marTop w:val="0"/>
          <w:marBottom w:val="0"/>
          <w:divBdr>
            <w:top w:val="none" w:sz="0" w:space="0" w:color="auto"/>
            <w:left w:val="none" w:sz="0" w:space="0" w:color="auto"/>
            <w:bottom w:val="none" w:sz="0" w:space="0" w:color="auto"/>
            <w:right w:val="none" w:sz="0" w:space="0" w:color="auto"/>
          </w:divBdr>
        </w:div>
        <w:div w:id="1059743744">
          <w:marLeft w:val="0"/>
          <w:marRight w:val="0"/>
          <w:marTop w:val="0"/>
          <w:marBottom w:val="0"/>
          <w:divBdr>
            <w:top w:val="none" w:sz="0" w:space="0" w:color="auto"/>
            <w:left w:val="none" w:sz="0" w:space="0" w:color="auto"/>
            <w:bottom w:val="none" w:sz="0" w:space="0" w:color="auto"/>
            <w:right w:val="none" w:sz="0" w:space="0" w:color="auto"/>
          </w:divBdr>
        </w:div>
        <w:div w:id="1975521">
          <w:marLeft w:val="0"/>
          <w:marRight w:val="0"/>
          <w:marTop w:val="0"/>
          <w:marBottom w:val="0"/>
          <w:divBdr>
            <w:top w:val="none" w:sz="0" w:space="0" w:color="auto"/>
            <w:left w:val="none" w:sz="0" w:space="0" w:color="auto"/>
            <w:bottom w:val="none" w:sz="0" w:space="0" w:color="auto"/>
            <w:right w:val="none" w:sz="0" w:space="0" w:color="auto"/>
          </w:divBdr>
        </w:div>
        <w:div w:id="1878858411">
          <w:marLeft w:val="0"/>
          <w:marRight w:val="0"/>
          <w:marTop w:val="0"/>
          <w:marBottom w:val="0"/>
          <w:divBdr>
            <w:top w:val="none" w:sz="0" w:space="0" w:color="auto"/>
            <w:left w:val="none" w:sz="0" w:space="0" w:color="auto"/>
            <w:bottom w:val="none" w:sz="0" w:space="0" w:color="auto"/>
            <w:right w:val="none" w:sz="0" w:space="0" w:color="auto"/>
          </w:divBdr>
        </w:div>
        <w:div w:id="724985094">
          <w:marLeft w:val="0"/>
          <w:marRight w:val="0"/>
          <w:marTop w:val="0"/>
          <w:marBottom w:val="0"/>
          <w:divBdr>
            <w:top w:val="none" w:sz="0" w:space="0" w:color="auto"/>
            <w:left w:val="none" w:sz="0" w:space="0" w:color="auto"/>
            <w:bottom w:val="none" w:sz="0" w:space="0" w:color="auto"/>
            <w:right w:val="none" w:sz="0" w:space="0" w:color="auto"/>
          </w:divBdr>
        </w:div>
        <w:div w:id="1287813375">
          <w:marLeft w:val="0"/>
          <w:marRight w:val="0"/>
          <w:marTop w:val="0"/>
          <w:marBottom w:val="0"/>
          <w:divBdr>
            <w:top w:val="none" w:sz="0" w:space="0" w:color="auto"/>
            <w:left w:val="none" w:sz="0" w:space="0" w:color="auto"/>
            <w:bottom w:val="none" w:sz="0" w:space="0" w:color="auto"/>
            <w:right w:val="none" w:sz="0" w:space="0" w:color="auto"/>
          </w:divBdr>
        </w:div>
        <w:div w:id="2090344897">
          <w:marLeft w:val="0"/>
          <w:marRight w:val="0"/>
          <w:marTop w:val="0"/>
          <w:marBottom w:val="0"/>
          <w:divBdr>
            <w:top w:val="none" w:sz="0" w:space="0" w:color="auto"/>
            <w:left w:val="none" w:sz="0" w:space="0" w:color="auto"/>
            <w:bottom w:val="none" w:sz="0" w:space="0" w:color="auto"/>
            <w:right w:val="none" w:sz="0" w:space="0" w:color="auto"/>
          </w:divBdr>
        </w:div>
        <w:div w:id="1882357416">
          <w:marLeft w:val="0"/>
          <w:marRight w:val="0"/>
          <w:marTop w:val="0"/>
          <w:marBottom w:val="0"/>
          <w:divBdr>
            <w:top w:val="none" w:sz="0" w:space="0" w:color="auto"/>
            <w:left w:val="none" w:sz="0" w:space="0" w:color="auto"/>
            <w:bottom w:val="none" w:sz="0" w:space="0" w:color="auto"/>
            <w:right w:val="none" w:sz="0" w:space="0" w:color="auto"/>
          </w:divBdr>
        </w:div>
        <w:div w:id="555748240">
          <w:marLeft w:val="0"/>
          <w:marRight w:val="0"/>
          <w:marTop w:val="0"/>
          <w:marBottom w:val="0"/>
          <w:divBdr>
            <w:top w:val="none" w:sz="0" w:space="0" w:color="auto"/>
            <w:left w:val="none" w:sz="0" w:space="0" w:color="auto"/>
            <w:bottom w:val="none" w:sz="0" w:space="0" w:color="auto"/>
            <w:right w:val="none" w:sz="0" w:space="0" w:color="auto"/>
          </w:divBdr>
        </w:div>
        <w:div w:id="193160098">
          <w:marLeft w:val="0"/>
          <w:marRight w:val="0"/>
          <w:marTop w:val="0"/>
          <w:marBottom w:val="0"/>
          <w:divBdr>
            <w:top w:val="none" w:sz="0" w:space="0" w:color="auto"/>
            <w:left w:val="none" w:sz="0" w:space="0" w:color="auto"/>
            <w:bottom w:val="none" w:sz="0" w:space="0" w:color="auto"/>
            <w:right w:val="none" w:sz="0" w:space="0" w:color="auto"/>
          </w:divBdr>
        </w:div>
        <w:div w:id="1986199741">
          <w:marLeft w:val="0"/>
          <w:marRight w:val="0"/>
          <w:marTop w:val="0"/>
          <w:marBottom w:val="0"/>
          <w:divBdr>
            <w:top w:val="none" w:sz="0" w:space="0" w:color="auto"/>
            <w:left w:val="none" w:sz="0" w:space="0" w:color="auto"/>
            <w:bottom w:val="none" w:sz="0" w:space="0" w:color="auto"/>
            <w:right w:val="none" w:sz="0" w:space="0" w:color="auto"/>
          </w:divBdr>
        </w:div>
        <w:div w:id="1800799395">
          <w:marLeft w:val="0"/>
          <w:marRight w:val="0"/>
          <w:marTop w:val="0"/>
          <w:marBottom w:val="0"/>
          <w:divBdr>
            <w:top w:val="none" w:sz="0" w:space="0" w:color="auto"/>
            <w:left w:val="none" w:sz="0" w:space="0" w:color="auto"/>
            <w:bottom w:val="none" w:sz="0" w:space="0" w:color="auto"/>
            <w:right w:val="none" w:sz="0" w:space="0" w:color="auto"/>
          </w:divBdr>
        </w:div>
        <w:div w:id="1600795796">
          <w:marLeft w:val="0"/>
          <w:marRight w:val="0"/>
          <w:marTop w:val="0"/>
          <w:marBottom w:val="0"/>
          <w:divBdr>
            <w:top w:val="none" w:sz="0" w:space="0" w:color="auto"/>
            <w:left w:val="none" w:sz="0" w:space="0" w:color="auto"/>
            <w:bottom w:val="none" w:sz="0" w:space="0" w:color="auto"/>
            <w:right w:val="none" w:sz="0" w:space="0" w:color="auto"/>
          </w:divBdr>
        </w:div>
        <w:div w:id="735051929">
          <w:marLeft w:val="0"/>
          <w:marRight w:val="0"/>
          <w:marTop w:val="0"/>
          <w:marBottom w:val="0"/>
          <w:divBdr>
            <w:top w:val="none" w:sz="0" w:space="0" w:color="auto"/>
            <w:left w:val="none" w:sz="0" w:space="0" w:color="auto"/>
            <w:bottom w:val="none" w:sz="0" w:space="0" w:color="auto"/>
            <w:right w:val="none" w:sz="0" w:space="0" w:color="auto"/>
          </w:divBdr>
        </w:div>
        <w:div w:id="1796487244">
          <w:marLeft w:val="0"/>
          <w:marRight w:val="0"/>
          <w:marTop w:val="0"/>
          <w:marBottom w:val="0"/>
          <w:divBdr>
            <w:top w:val="none" w:sz="0" w:space="0" w:color="auto"/>
            <w:left w:val="none" w:sz="0" w:space="0" w:color="auto"/>
            <w:bottom w:val="none" w:sz="0" w:space="0" w:color="auto"/>
            <w:right w:val="none" w:sz="0" w:space="0" w:color="auto"/>
          </w:divBdr>
        </w:div>
        <w:div w:id="1235042284">
          <w:marLeft w:val="0"/>
          <w:marRight w:val="0"/>
          <w:marTop w:val="0"/>
          <w:marBottom w:val="0"/>
          <w:divBdr>
            <w:top w:val="none" w:sz="0" w:space="0" w:color="auto"/>
            <w:left w:val="none" w:sz="0" w:space="0" w:color="auto"/>
            <w:bottom w:val="none" w:sz="0" w:space="0" w:color="auto"/>
            <w:right w:val="none" w:sz="0" w:space="0" w:color="auto"/>
          </w:divBdr>
        </w:div>
        <w:div w:id="1423914744">
          <w:marLeft w:val="0"/>
          <w:marRight w:val="0"/>
          <w:marTop w:val="0"/>
          <w:marBottom w:val="0"/>
          <w:divBdr>
            <w:top w:val="none" w:sz="0" w:space="0" w:color="auto"/>
            <w:left w:val="none" w:sz="0" w:space="0" w:color="auto"/>
            <w:bottom w:val="none" w:sz="0" w:space="0" w:color="auto"/>
            <w:right w:val="none" w:sz="0" w:space="0" w:color="auto"/>
          </w:divBdr>
        </w:div>
        <w:div w:id="1569464326">
          <w:marLeft w:val="0"/>
          <w:marRight w:val="0"/>
          <w:marTop w:val="0"/>
          <w:marBottom w:val="0"/>
          <w:divBdr>
            <w:top w:val="none" w:sz="0" w:space="0" w:color="auto"/>
            <w:left w:val="none" w:sz="0" w:space="0" w:color="auto"/>
            <w:bottom w:val="none" w:sz="0" w:space="0" w:color="auto"/>
            <w:right w:val="none" w:sz="0" w:space="0" w:color="auto"/>
          </w:divBdr>
        </w:div>
        <w:div w:id="579827856">
          <w:marLeft w:val="0"/>
          <w:marRight w:val="0"/>
          <w:marTop w:val="0"/>
          <w:marBottom w:val="0"/>
          <w:divBdr>
            <w:top w:val="none" w:sz="0" w:space="0" w:color="auto"/>
            <w:left w:val="none" w:sz="0" w:space="0" w:color="auto"/>
            <w:bottom w:val="none" w:sz="0" w:space="0" w:color="auto"/>
            <w:right w:val="none" w:sz="0" w:space="0" w:color="auto"/>
          </w:divBdr>
        </w:div>
        <w:div w:id="1553929672">
          <w:marLeft w:val="0"/>
          <w:marRight w:val="0"/>
          <w:marTop w:val="0"/>
          <w:marBottom w:val="0"/>
          <w:divBdr>
            <w:top w:val="none" w:sz="0" w:space="0" w:color="auto"/>
            <w:left w:val="none" w:sz="0" w:space="0" w:color="auto"/>
            <w:bottom w:val="none" w:sz="0" w:space="0" w:color="auto"/>
            <w:right w:val="none" w:sz="0" w:space="0" w:color="auto"/>
          </w:divBdr>
        </w:div>
        <w:div w:id="622732641">
          <w:marLeft w:val="0"/>
          <w:marRight w:val="0"/>
          <w:marTop w:val="0"/>
          <w:marBottom w:val="0"/>
          <w:divBdr>
            <w:top w:val="none" w:sz="0" w:space="0" w:color="auto"/>
            <w:left w:val="none" w:sz="0" w:space="0" w:color="auto"/>
            <w:bottom w:val="none" w:sz="0" w:space="0" w:color="auto"/>
            <w:right w:val="none" w:sz="0" w:space="0" w:color="auto"/>
          </w:divBdr>
        </w:div>
        <w:div w:id="32922394">
          <w:marLeft w:val="0"/>
          <w:marRight w:val="0"/>
          <w:marTop w:val="0"/>
          <w:marBottom w:val="0"/>
          <w:divBdr>
            <w:top w:val="none" w:sz="0" w:space="0" w:color="auto"/>
            <w:left w:val="none" w:sz="0" w:space="0" w:color="auto"/>
            <w:bottom w:val="none" w:sz="0" w:space="0" w:color="auto"/>
            <w:right w:val="none" w:sz="0" w:space="0" w:color="auto"/>
          </w:divBdr>
        </w:div>
        <w:div w:id="232281001">
          <w:marLeft w:val="0"/>
          <w:marRight w:val="0"/>
          <w:marTop w:val="0"/>
          <w:marBottom w:val="0"/>
          <w:divBdr>
            <w:top w:val="none" w:sz="0" w:space="0" w:color="auto"/>
            <w:left w:val="none" w:sz="0" w:space="0" w:color="auto"/>
            <w:bottom w:val="none" w:sz="0" w:space="0" w:color="auto"/>
            <w:right w:val="none" w:sz="0" w:space="0" w:color="auto"/>
          </w:divBdr>
        </w:div>
        <w:div w:id="638262853">
          <w:marLeft w:val="0"/>
          <w:marRight w:val="0"/>
          <w:marTop w:val="0"/>
          <w:marBottom w:val="0"/>
          <w:divBdr>
            <w:top w:val="none" w:sz="0" w:space="0" w:color="auto"/>
            <w:left w:val="none" w:sz="0" w:space="0" w:color="auto"/>
            <w:bottom w:val="none" w:sz="0" w:space="0" w:color="auto"/>
            <w:right w:val="none" w:sz="0" w:space="0" w:color="auto"/>
          </w:divBdr>
        </w:div>
        <w:div w:id="1590197306">
          <w:marLeft w:val="0"/>
          <w:marRight w:val="0"/>
          <w:marTop w:val="0"/>
          <w:marBottom w:val="0"/>
          <w:divBdr>
            <w:top w:val="none" w:sz="0" w:space="0" w:color="auto"/>
            <w:left w:val="none" w:sz="0" w:space="0" w:color="auto"/>
            <w:bottom w:val="none" w:sz="0" w:space="0" w:color="auto"/>
            <w:right w:val="none" w:sz="0" w:space="0" w:color="auto"/>
          </w:divBdr>
        </w:div>
        <w:div w:id="2007397258">
          <w:marLeft w:val="0"/>
          <w:marRight w:val="0"/>
          <w:marTop w:val="0"/>
          <w:marBottom w:val="0"/>
          <w:divBdr>
            <w:top w:val="none" w:sz="0" w:space="0" w:color="auto"/>
            <w:left w:val="none" w:sz="0" w:space="0" w:color="auto"/>
            <w:bottom w:val="none" w:sz="0" w:space="0" w:color="auto"/>
            <w:right w:val="none" w:sz="0" w:space="0" w:color="auto"/>
          </w:divBdr>
        </w:div>
        <w:div w:id="819926973">
          <w:marLeft w:val="0"/>
          <w:marRight w:val="0"/>
          <w:marTop w:val="0"/>
          <w:marBottom w:val="0"/>
          <w:divBdr>
            <w:top w:val="none" w:sz="0" w:space="0" w:color="auto"/>
            <w:left w:val="none" w:sz="0" w:space="0" w:color="auto"/>
            <w:bottom w:val="none" w:sz="0" w:space="0" w:color="auto"/>
            <w:right w:val="none" w:sz="0" w:space="0" w:color="auto"/>
          </w:divBdr>
        </w:div>
        <w:div w:id="878319485">
          <w:marLeft w:val="0"/>
          <w:marRight w:val="0"/>
          <w:marTop w:val="0"/>
          <w:marBottom w:val="0"/>
          <w:divBdr>
            <w:top w:val="none" w:sz="0" w:space="0" w:color="auto"/>
            <w:left w:val="none" w:sz="0" w:space="0" w:color="auto"/>
            <w:bottom w:val="none" w:sz="0" w:space="0" w:color="auto"/>
            <w:right w:val="none" w:sz="0" w:space="0" w:color="auto"/>
          </w:divBdr>
        </w:div>
        <w:div w:id="750852221">
          <w:marLeft w:val="0"/>
          <w:marRight w:val="0"/>
          <w:marTop w:val="0"/>
          <w:marBottom w:val="0"/>
          <w:divBdr>
            <w:top w:val="none" w:sz="0" w:space="0" w:color="auto"/>
            <w:left w:val="none" w:sz="0" w:space="0" w:color="auto"/>
            <w:bottom w:val="none" w:sz="0" w:space="0" w:color="auto"/>
            <w:right w:val="none" w:sz="0" w:space="0" w:color="auto"/>
          </w:divBdr>
        </w:div>
        <w:div w:id="147938061">
          <w:marLeft w:val="0"/>
          <w:marRight w:val="0"/>
          <w:marTop w:val="0"/>
          <w:marBottom w:val="0"/>
          <w:divBdr>
            <w:top w:val="none" w:sz="0" w:space="0" w:color="auto"/>
            <w:left w:val="none" w:sz="0" w:space="0" w:color="auto"/>
            <w:bottom w:val="none" w:sz="0" w:space="0" w:color="auto"/>
            <w:right w:val="none" w:sz="0" w:space="0" w:color="auto"/>
          </w:divBdr>
        </w:div>
        <w:div w:id="822356222">
          <w:marLeft w:val="0"/>
          <w:marRight w:val="0"/>
          <w:marTop w:val="0"/>
          <w:marBottom w:val="0"/>
          <w:divBdr>
            <w:top w:val="none" w:sz="0" w:space="0" w:color="auto"/>
            <w:left w:val="none" w:sz="0" w:space="0" w:color="auto"/>
            <w:bottom w:val="none" w:sz="0" w:space="0" w:color="auto"/>
            <w:right w:val="none" w:sz="0" w:space="0" w:color="auto"/>
          </w:divBdr>
        </w:div>
        <w:div w:id="605894149">
          <w:marLeft w:val="0"/>
          <w:marRight w:val="0"/>
          <w:marTop w:val="0"/>
          <w:marBottom w:val="0"/>
          <w:divBdr>
            <w:top w:val="none" w:sz="0" w:space="0" w:color="auto"/>
            <w:left w:val="none" w:sz="0" w:space="0" w:color="auto"/>
            <w:bottom w:val="none" w:sz="0" w:space="0" w:color="auto"/>
            <w:right w:val="none" w:sz="0" w:space="0" w:color="auto"/>
          </w:divBdr>
        </w:div>
        <w:div w:id="2140100690">
          <w:marLeft w:val="0"/>
          <w:marRight w:val="0"/>
          <w:marTop w:val="0"/>
          <w:marBottom w:val="0"/>
          <w:divBdr>
            <w:top w:val="none" w:sz="0" w:space="0" w:color="auto"/>
            <w:left w:val="none" w:sz="0" w:space="0" w:color="auto"/>
            <w:bottom w:val="none" w:sz="0" w:space="0" w:color="auto"/>
            <w:right w:val="none" w:sz="0" w:space="0" w:color="auto"/>
          </w:divBdr>
        </w:div>
        <w:div w:id="1791704139">
          <w:marLeft w:val="0"/>
          <w:marRight w:val="0"/>
          <w:marTop w:val="0"/>
          <w:marBottom w:val="0"/>
          <w:divBdr>
            <w:top w:val="none" w:sz="0" w:space="0" w:color="auto"/>
            <w:left w:val="none" w:sz="0" w:space="0" w:color="auto"/>
            <w:bottom w:val="none" w:sz="0" w:space="0" w:color="auto"/>
            <w:right w:val="none" w:sz="0" w:space="0" w:color="auto"/>
          </w:divBdr>
        </w:div>
        <w:div w:id="635179581">
          <w:marLeft w:val="0"/>
          <w:marRight w:val="0"/>
          <w:marTop w:val="0"/>
          <w:marBottom w:val="0"/>
          <w:divBdr>
            <w:top w:val="none" w:sz="0" w:space="0" w:color="auto"/>
            <w:left w:val="none" w:sz="0" w:space="0" w:color="auto"/>
            <w:bottom w:val="none" w:sz="0" w:space="0" w:color="auto"/>
            <w:right w:val="none" w:sz="0" w:space="0" w:color="auto"/>
          </w:divBdr>
        </w:div>
        <w:div w:id="1275137641">
          <w:marLeft w:val="0"/>
          <w:marRight w:val="0"/>
          <w:marTop w:val="0"/>
          <w:marBottom w:val="0"/>
          <w:divBdr>
            <w:top w:val="none" w:sz="0" w:space="0" w:color="auto"/>
            <w:left w:val="none" w:sz="0" w:space="0" w:color="auto"/>
            <w:bottom w:val="none" w:sz="0" w:space="0" w:color="auto"/>
            <w:right w:val="none" w:sz="0" w:space="0" w:color="auto"/>
          </w:divBdr>
        </w:div>
        <w:div w:id="1556428178">
          <w:marLeft w:val="0"/>
          <w:marRight w:val="0"/>
          <w:marTop w:val="0"/>
          <w:marBottom w:val="0"/>
          <w:divBdr>
            <w:top w:val="none" w:sz="0" w:space="0" w:color="auto"/>
            <w:left w:val="none" w:sz="0" w:space="0" w:color="auto"/>
            <w:bottom w:val="none" w:sz="0" w:space="0" w:color="auto"/>
            <w:right w:val="none" w:sz="0" w:space="0" w:color="auto"/>
          </w:divBdr>
        </w:div>
        <w:div w:id="755053172">
          <w:marLeft w:val="0"/>
          <w:marRight w:val="0"/>
          <w:marTop w:val="0"/>
          <w:marBottom w:val="0"/>
          <w:divBdr>
            <w:top w:val="none" w:sz="0" w:space="0" w:color="auto"/>
            <w:left w:val="none" w:sz="0" w:space="0" w:color="auto"/>
            <w:bottom w:val="none" w:sz="0" w:space="0" w:color="auto"/>
            <w:right w:val="none" w:sz="0" w:space="0" w:color="auto"/>
          </w:divBdr>
        </w:div>
        <w:div w:id="612513553">
          <w:marLeft w:val="0"/>
          <w:marRight w:val="0"/>
          <w:marTop w:val="0"/>
          <w:marBottom w:val="0"/>
          <w:divBdr>
            <w:top w:val="none" w:sz="0" w:space="0" w:color="auto"/>
            <w:left w:val="none" w:sz="0" w:space="0" w:color="auto"/>
            <w:bottom w:val="none" w:sz="0" w:space="0" w:color="auto"/>
            <w:right w:val="none" w:sz="0" w:space="0" w:color="auto"/>
          </w:divBdr>
        </w:div>
        <w:div w:id="764813595">
          <w:marLeft w:val="0"/>
          <w:marRight w:val="0"/>
          <w:marTop w:val="0"/>
          <w:marBottom w:val="0"/>
          <w:divBdr>
            <w:top w:val="none" w:sz="0" w:space="0" w:color="auto"/>
            <w:left w:val="none" w:sz="0" w:space="0" w:color="auto"/>
            <w:bottom w:val="none" w:sz="0" w:space="0" w:color="auto"/>
            <w:right w:val="none" w:sz="0" w:space="0" w:color="auto"/>
          </w:divBdr>
        </w:div>
        <w:div w:id="211424415">
          <w:marLeft w:val="0"/>
          <w:marRight w:val="0"/>
          <w:marTop w:val="0"/>
          <w:marBottom w:val="0"/>
          <w:divBdr>
            <w:top w:val="none" w:sz="0" w:space="0" w:color="auto"/>
            <w:left w:val="none" w:sz="0" w:space="0" w:color="auto"/>
            <w:bottom w:val="none" w:sz="0" w:space="0" w:color="auto"/>
            <w:right w:val="none" w:sz="0" w:space="0" w:color="auto"/>
          </w:divBdr>
        </w:div>
        <w:div w:id="695425733">
          <w:marLeft w:val="0"/>
          <w:marRight w:val="0"/>
          <w:marTop w:val="0"/>
          <w:marBottom w:val="0"/>
          <w:divBdr>
            <w:top w:val="none" w:sz="0" w:space="0" w:color="auto"/>
            <w:left w:val="none" w:sz="0" w:space="0" w:color="auto"/>
            <w:bottom w:val="none" w:sz="0" w:space="0" w:color="auto"/>
            <w:right w:val="none" w:sz="0" w:space="0" w:color="auto"/>
          </w:divBdr>
        </w:div>
        <w:div w:id="1502889650">
          <w:marLeft w:val="0"/>
          <w:marRight w:val="0"/>
          <w:marTop w:val="0"/>
          <w:marBottom w:val="0"/>
          <w:divBdr>
            <w:top w:val="none" w:sz="0" w:space="0" w:color="auto"/>
            <w:left w:val="none" w:sz="0" w:space="0" w:color="auto"/>
            <w:bottom w:val="none" w:sz="0" w:space="0" w:color="auto"/>
            <w:right w:val="none" w:sz="0" w:space="0" w:color="auto"/>
          </w:divBdr>
        </w:div>
        <w:div w:id="1255092765">
          <w:marLeft w:val="0"/>
          <w:marRight w:val="0"/>
          <w:marTop w:val="0"/>
          <w:marBottom w:val="0"/>
          <w:divBdr>
            <w:top w:val="none" w:sz="0" w:space="0" w:color="auto"/>
            <w:left w:val="none" w:sz="0" w:space="0" w:color="auto"/>
            <w:bottom w:val="none" w:sz="0" w:space="0" w:color="auto"/>
            <w:right w:val="none" w:sz="0" w:space="0" w:color="auto"/>
          </w:divBdr>
        </w:div>
        <w:div w:id="711736770">
          <w:marLeft w:val="0"/>
          <w:marRight w:val="0"/>
          <w:marTop w:val="0"/>
          <w:marBottom w:val="0"/>
          <w:divBdr>
            <w:top w:val="none" w:sz="0" w:space="0" w:color="auto"/>
            <w:left w:val="none" w:sz="0" w:space="0" w:color="auto"/>
            <w:bottom w:val="none" w:sz="0" w:space="0" w:color="auto"/>
            <w:right w:val="none" w:sz="0" w:space="0" w:color="auto"/>
          </w:divBdr>
        </w:div>
        <w:div w:id="1301377445">
          <w:marLeft w:val="0"/>
          <w:marRight w:val="0"/>
          <w:marTop w:val="0"/>
          <w:marBottom w:val="0"/>
          <w:divBdr>
            <w:top w:val="none" w:sz="0" w:space="0" w:color="auto"/>
            <w:left w:val="none" w:sz="0" w:space="0" w:color="auto"/>
            <w:bottom w:val="none" w:sz="0" w:space="0" w:color="auto"/>
            <w:right w:val="none" w:sz="0" w:space="0" w:color="auto"/>
          </w:divBdr>
        </w:div>
        <w:div w:id="1788885695">
          <w:marLeft w:val="0"/>
          <w:marRight w:val="0"/>
          <w:marTop w:val="0"/>
          <w:marBottom w:val="0"/>
          <w:divBdr>
            <w:top w:val="none" w:sz="0" w:space="0" w:color="auto"/>
            <w:left w:val="none" w:sz="0" w:space="0" w:color="auto"/>
            <w:bottom w:val="none" w:sz="0" w:space="0" w:color="auto"/>
            <w:right w:val="none" w:sz="0" w:space="0" w:color="auto"/>
          </w:divBdr>
        </w:div>
        <w:div w:id="1323007904">
          <w:marLeft w:val="0"/>
          <w:marRight w:val="0"/>
          <w:marTop w:val="0"/>
          <w:marBottom w:val="0"/>
          <w:divBdr>
            <w:top w:val="none" w:sz="0" w:space="0" w:color="auto"/>
            <w:left w:val="none" w:sz="0" w:space="0" w:color="auto"/>
            <w:bottom w:val="none" w:sz="0" w:space="0" w:color="auto"/>
            <w:right w:val="none" w:sz="0" w:space="0" w:color="auto"/>
          </w:divBdr>
        </w:div>
        <w:div w:id="1007830361">
          <w:marLeft w:val="0"/>
          <w:marRight w:val="0"/>
          <w:marTop w:val="0"/>
          <w:marBottom w:val="0"/>
          <w:divBdr>
            <w:top w:val="none" w:sz="0" w:space="0" w:color="auto"/>
            <w:left w:val="none" w:sz="0" w:space="0" w:color="auto"/>
            <w:bottom w:val="none" w:sz="0" w:space="0" w:color="auto"/>
            <w:right w:val="none" w:sz="0" w:space="0" w:color="auto"/>
          </w:divBdr>
        </w:div>
        <w:div w:id="169873154">
          <w:marLeft w:val="0"/>
          <w:marRight w:val="0"/>
          <w:marTop w:val="0"/>
          <w:marBottom w:val="0"/>
          <w:divBdr>
            <w:top w:val="none" w:sz="0" w:space="0" w:color="auto"/>
            <w:left w:val="none" w:sz="0" w:space="0" w:color="auto"/>
            <w:bottom w:val="none" w:sz="0" w:space="0" w:color="auto"/>
            <w:right w:val="none" w:sz="0" w:space="0" w:color="auto"/>
          </w:divBdr>
        </w:div>
        <w:div w:id="1220703632">
          <w:marLeft w:val="0"/>
          <w:marRight w:val="0"/>
          <w:marTop w:val="0"/>
          <w:marBottom w:val="0"/>
          <w:divBdr>
            <w:top w:val="none" w:sz="0" w:space="0" w:color="auto"/>
            <w:left w:val="none" w:sz="0" w:space="0" w:color="auto"/>
            <w:bottom w:val="none" w:sz="0" w:space="0" w:color="auto"/>
            <w:right w:val="none" w:sz="0" w:space="0" w:color="auto"/>
          </w:divBdr>
        </w:div>
        <w:div w:id="851914496">
          <w:marLeft w:val="0"/>
          <w:marRight w:val="0"/>
          <w:marTop w:val="0"/>
          <w:marBottom w:val="0"/>
          <w:divBdr>
            <w:top w:val="none" w:sz="0" w:space="0" w:color="auto"/>
            <w:left w:val="none" w:sz="0" w:space="0" w:color="auto"/>
            <w:bottom w:val="none" w:sz="0" w:space="0" w:color="auto"/>
            <w:right w:val="none" w:sz="0" w:space="0" w:color="auto"/>
          </w:divBdr>
        </w:div>
        <w:div w:id="456678182">
          <w:marLeft w:val="0"/>
          <w:marRight w:val="0"/>
          <w:marTop w:val="0"/>
          <w:marBottom w:val="0"/>
          <w:divBdr>
            <w:top w:val="none" w:sz="0" w:space="0" w:color="auto"/>
            <w:left w:val="none" w:sz="0" w:space="0" w:color="auto"/>
            <w:bottom w:val="none" w:sz="0" w:space="0" w:color="auto"/>
            <w:right w:val="none" w:sz="0" w:space="0" w:color="auto"/>
          </w:divBdr>
        </w:div>
        <w:div w:id="1661691065">
          <w:marLeft w:val="0"/>
          <w:marRight w:val="0"/>
          <w:marTop w:val="0"/>
          <w:marBottom w:val="0"/>
          <w:divBdr>
            <w:top w:val="none" w:sz="0" w:space="0" w:color="auto"/>
            <w:left w:val="none" w:sz="0" w:space="0" w:color="auto"/>
            <w:bottom w:val="none" w:sz="0" w:space="0" w:color="auto"/>
            <w:right w:val="none" w:sz="0" w:space="0" w:color="auto"/>
          </w:divBdr>
        </w:div>
        <w:div w:id="1091394615">
          <w:marLeft w:val="0"/>
          <w:marRight w:val="0"/>
          <w:marTop w:val="0"/>
          <w:marBottom w:val="0"/>
          <w:divBdr>
            <w:top w:val="none" w:sz="0" w:space="0" w:color="auto"/>
            <w:left w:val="none" w:sz="0" w:space="0" w:color="auto"/>
            <w:bottom w:val="none" w:sz="0" w:space="0" w:color="auto"/>
            <w:right w:val="none" w:sz="0" w:space="0" w:color="auto"/>
          </w:divBdr>
        </w:div>
        <w:div w:id="1236089888">
          <w:marLeft w:val="0"/>
          <w:marRight w:val="0"/>
          <w:marTop w:val="0"/>
          <w:marBottom w:val="0"/>
          <w:divBdr>
            <w:top w:val="none" w:sz="0" w:space="0" w:color="auto"/>
            <w:left w:val="none" w:sz="0" w:space="0" w:color="auto"/>
            <w:bottom w:val="none" w:sz="0" w:space="0" w:color="auto"/>
            <w:right w:val="none" w:sz="0" w:space="0" w:color="auto"/>
          </w:divBdr>
        </w:div>
        <w:div w:id="627972181">
          <w:marLeft w:val="0"/>
          <w:marRight w:val="0"/>
          <w:marTop w:val="0"/>
          <w:marBottom w:val="0"/>
          <w:divBdr>
            <w:top w:val="none" w:sz="0" w:space="0" w:color="auto"/>
            <w:left w:val="none" w:sz="0" w:space="0" w:color="auto"/>
            <w:bottom w:val="none" w:sz="0" w:space="0" w:color="auto"/>
            <w:right w:val="none" w:sz="0" w:space="0" w:color="auto"/>
          </w:divBdr>
        </w:div>
        <w:div w:id="173081413">
          <w:marLeft w:val="0"/>
          <w:marRight w:val="0"/>
          <w:marTop w:val="0"/>
          <w:marBottom w:val="0"/>
          <w:divBdr>
            <w:top w:val="none" w:sz="0" w:space="0" w:color="auto"/>
            <w:left w:val="none" w:sz="0" w:space="0" w:color="auto"/>
            <w:bottom w:val="none" w:sz="0" w:space="0" w:color="auto"/>
            <w:right w:val="none" w:sz="0" w:space="0" w:color="auto"/>
          </w:divBdr>
        </w:div>
        <w:div w:id="1771242626">
          <w:marLeft w:val="0"/>
          <w:marRight w:val="0"/>
          <w:marTop w:val="0"/>
          <w:marBottom w:val="0"/>
          <w:divBdr>
            <w:top w:val="none" w:sz="0" w:space="0" w:color="auto"/>
            <w:left w:val="none" w:sz="0" w:space="0" w:color="auto"/>
            <w:bottom w:val="none" w:sz="0" w:space="0" w:color="auto"/>
            <w:right w:val="none" w:sz="0" w:space="0" w:color="auto"/>
          </w:divBdr>
        </w:div>
        <w:div w:id="110127455">
          <w:marLeft w:val="0"/>
          <w:marRight w:val="0"/>
          <w:marTop w:val="0"/>
          <w:marBottom w:val="0"/>
          <w:divBdr>
            <w:top w:val="none" w:sz="0" w:space="0" w:color="auto"/>
            <w:left w:val="none" w:sz="0" w:space="0" w:color="auto"/>
            <w:bottom w:val="none" w:sz="0" w:space="0" w:color="auto"/>
            <w:right w:val="none" w:sz="0" w:space="0" w:color="auto"/>
          </w:divBdr>
        </w:div>
        <w:div w:id="260337642">
          <w:marLeft w:val="0"/>
          <w:marRight w:val="0"/>
          <w:marTop w:val="0"/>
          <w:marBottom w:val="0"/>
          <w:divBdr>
            <w:top w:val="none" w:sz="0" w:space="0" w:color="auto"/>
            <w:left w:val="none" w:sz="0" w:space="0" w:color="auto"/>
            <w:bottom w:val="none" w:sz="0" w:space="0" w:color="auto"/>
            <w:right w:val="none" w:sz="0" w:space="0" w:color="auto"/>
          </w:divBdr>
        </w:div>
        <w:div w:id="414010298">
          <w:marLeft w:val="0"/>
          <w:marRight w:val="0"/>
          <w:marTop w:val="0"/>
          <w:marBottom w:val="0"/>
          <w:divBdr>
            <w:top w:val="none" w:sz="0" w:space="0" w:color="auto"/>
            <w:left w:val="none" w:sz="0" w:space="0" w:color="auto"/>
            <w:bottom w:val="none" w:sz="0" w:space="0" w:color="auto"/>
            <w:right w:val="none" w:sz="0" w:space="0" w:color="auto"/>
          </w:divBdr>
        </w:div>
      </w:divsChild>
    </w:div>
    <w:div w:id="1657147082">
      <w:bodyDiv w:val="1"/>
      <w:marLeft w:val="0"/>
      <w:marRight w:val="0"/>
      <w:marTop w:val="0"/>
      <w:marBottom w:val="0"/>
      <w:divBdr>
        <w:top w:val="none" w:sz="0" w:space="0" w:color="auto"/>
        <w:left w:val="none" w:sz="0" w:space="0" w:color="auto"/>
        <w:bottom w:val="none" w:sz="0" w:space="0" w:color="auto"/>
        <w:right w:val="none" w:sz="0" w:space="0" w:color="auto"/>
      </w:divBdr>
      <w:divsChild>
        <w:div w:id="1847135524">
          <w:marLeft w:val="0"/>
          <w:marRight w:val="0"/>
          <w:marTop w:val="0"/>
          <w:marBottom w:val="0"/>
          <w:divBdr>
            <w:top w:val="none" w:sz="0" w:space="0" w:color="auto"/>
            <w:left w:val="none" w:sz="0" w:space="0" w:color="auto"/>
            <w:bottom w:val="none" w:sz="0" w:space="0" w:color="auto"/>
            <w:right w:val="none" w:sz="0" w:space="0" w:color="auto"/>
          </w:divBdr>
        </w:div>
        <w:div w:id="813065817">
          <w:marLeft w:val="0"/>
          <w:marRight w:val="0"/>
          <w:marTop w:val="0"/>
          <w:marBottom w:val="0"/>
          <w:divBdr>
            <w:top w:val="none" w:sz="0" w:space="0" w:color="auto"/>
            <w:left w:val="none" w:sz="0" w:space="0" w:color="auto"/>
            <w:bottom w:val="none" w:sz="0" w:space="0" w:color="auto"/>
            <w:right w:val="none" w:sz="0" w:space="0" w:color="auto"/>
          </w:divBdr>
        </w:div>
        <w:div w:id="2038964882">
          <w:marLeft w:val="0"/>
          <w:marRight w:val="0"/>
          <w:marTop w:val="0"/>
          <w:marBottom w:val="0"/>
          <w:divBdr>
            <w:top w:val="none" w:sz="0" w:space="0" w:color="auto"/>
            <w:left w:val="none" w:sz="0" w:space="0" w:color="auto"/>
            <w:bottom w:val="none" w:sz="0" w:space="0" w:color="auto"/>
            <w:right w:val="none" w:sz="0" w:space="0" w:color="auto"/>
          </w:divBdr>
        </w:div>
        <w:div w:id="1408383873">
          <w:marLeft w:val="0"/>
          <w:marRight w:val="0"/>
          <w:marTop w:val="0"/>
          <w:marBottom w:val="0"/>
          <w:divBdr>
            <w:top w:val="none" w:sz="0" w:space="0" w:color="auto"/>
            <w:left w:val="none" w:sz="0" w:space="0" w:color="auto"/>
            <w:bottom w:val="none" w:sz="0" w:space="0" w:color="auto"/>
            <w:right w:val="none" w:sz="0" w:space="0" w:color="auto"/>
          </w:divBdr>
        </w:div>
        <w:div w:id="1769622604">
          <w:marLeft w:val="0"/>
          <w:marRight w:val="0"/>
          <w:marTop w:val="0"/>
          <w:marBottom w:val="0"/>
          <w:divBdr>
            <w:top w:val="none" w:sz="0" w:space="0" w:color="auto"/>
            <w:left w:val="none" w:sz="0" w:space="0" w:color="auto"/>
            <w:bottom w:val="none" w:sz="0" w:space="0" w:color="auto"/>
            <w:right w:val="none" w:sz="0" w:space="0" w:color="auto"/>
          </w:divBdr>
        </w:div>
        <w:div w:id="264193595">
          <w:marLeft w:val="0"/>
          <w:marRight w:val="0"/>
          <w:marTop w:val="0"/>
          <w:marBottom w:val="0"/>
          <w:divBdr>
            <w:top w:val="none" w:sz="0" w:space="0" w:color="auto"/>
            <w:left w:val="none" w:sz="0" w:space="0" w:color="auto"/>
            <w:bottom w:val="none" w:sz="0" w:space="0" w:color="auto"/>
            <w:right w:val="none" w:sz="0" w:space="0" w:color="auto"/>
          </w:divBdr>
        </w:div>
        <w:div w:id="1572545114">
          <w:marLeft w:val="0"/>
          <w:marRight w:val="0"/>
          <w:marTop w:val="0"/>
          <w:marBottom w:val="0"/>
          <w:divBdr>
            <w:top w:val="none" w:sz="0" w:space="0" w:color="auto"/>
            <w:left w:val="none" w:sz="0" w:space="0" w:color="auto"/>
            <w:bottom w:val="none" w:sz="0" w:space="0" w:color="auto"/>
            <w:right w:val="none" w:sz="0" w:space="0" w:color="auto"/>
          </w:divBdr>
        </w:div>
        <w:div w:id="1685326263">
          <w:marLeft w:val="0"/>
          <w:marRight w:val="0"/>
          <w:marTop w:val="0"/>
          <w:marBottom w:val="0"/>
          <w:divBdr>
            <w:top w:val="none" w:sz="0" w:space="0" w:color="auto"/>
            <w:left w:val="none" w:sz="0" w:space="0" w:color="auto"/>
            <w:bottom w:val="none" w:sz="0" w:space="0" w:color="auto"/>
            <w:right w:val="none" w:sz="0" w:space="0" w:color="auto"/>
          </w:divBdr>
        </w:div>
        <w:div w:id="725302031">
          <w:marLeft w:val="0"/>
          <w:marRight w:val="0"/>
          <w:marTop w:val="0"/>
          <w:marBottom w:val="0"/>
          <w:divBdr>
            <w:top w:val="none" w:sz="0" w:space="0" w:color="auto"/>
            <w:left w:val="none" w:sz="0" w:space="0" w:color="auto"/>
            <w:bottom w:val="none" w:sz="0" w:space="0" w:color="auto"/>
            <w:right w:val="none" w:sz="0" w:space="0" w:color="auto"/>
          </w:divBdr>
        </w:div>
        <w:div w:id="1298998487">
          <w:marLeft w:val="0"/>
          <w:marRight w:val="0"/>
          <w:marTop w:val="0"/>
          <w:marBottom w:val="0"/>
          <w:divBdr>
            <w:top w:val="none" w:sz="0" w:space="0" w:color="auto"/>
            <w:left w:val="none" w:sz="0" w:space="0" w:color="auto"/>
            <w:bottom w:val="none" w:sz="0" w:space="0" w:color="auto"/>
            <w:right w:val="none" w:sz="0" w:space="0" w:color="auto"/>
          </w:divBdr>
        </w:div>
        <w:div w:id="1295914023">
          <w:marLeft w:val="0"/>
          <w:marRight w:val="0"/>
          <w:marTop w:val="0"/>
          <w:marBottom w:val="0"/>
          <w:divBdr>
            <w:top w:val="none" w:sz="0" w:space="0" w:color="auto"/>
            <w:left w:val="none" w:sz="0" w:space="0" w:color="auto"/>
            <w:bottom w:val="none" w:sz="0" w:space="0" w:color="auto"/>
            <w:right w:val="none" w:sz="0" w:space="0" w:color="auto"/>
          </w:divBdr>
        </w:div>
        <w:div w:id="414979752">
          <w:marLeft w:val="0"/>
          <w:marRight w:val="0"/>
          <w:marTop w:val="0"/>
          <w:marBottom w:val="0"/>
          <w:divBdr>
            <w:top w:val="none" w:sz="0" w:space="0" w:color="auto"/>
            <w:left w:val="none" w:sz="0" w:space="0" w:color="auto"/>
            <w:bottom w:val="none" w:sz="0" w:space="0" w:color="auto"/>
            <w:right w:val="none" w:sz="0" w:space="0" w:color="auto"/>
          </w:divBdr>
        </w:div>
        <w:div w:id="1003050650">
          <w:marLeft w:val="0"/>
          <w:marRight w:val="0"/>
          <w:marTop w:val="0"/>
          <w:marBottom w:val="0"/>
          <w:divBdr>
            <w:top w:val="none" w:sz="0" w:space="0" w:color="auto"/>
            <w:left w:val="none" w:sz="0" w:space="0" w:color="auto"/>
            <w:bottom w:val="none" w:sz="0" w:space="0" w:color="auto"/>
            <w:right w:val="none" w:sz="0" w:space="0" w:color="auto"/>
          </w:divBdr>
        </w:div>
        <w:div w:id="27413666">
          <w:marLeft w:val="0"/>
          <w:marRight w:val="0"/>
          <w:marTop w:val="0"/>
          <w:marBottom w:val="0"/>
          <w:divBdr>
            <w:top w:val="none" w:sz="0" w:space="0" w:color="auto"/>
            <w:left w:val="none" w:sz="0" w:space="0" w:color="auto"/>
            <w:bottom w:val="none" w:sz="0" w:space="0" w:color="auto"/>
            <w:right w:val="none" w:sz="0" w:space="0" w:color="auto"/>
          </w:divBdr>
        </w:div>
        <w:div w:id="326398805">
          <w:marLeft w:val="0"/>
          <w:marRight w:val="0"/>
          <w:marTop w:val="0"/>
          <w:marBottom w:val="0"/>
          <w:divBdr>
            <w:top w:val="none" w:sz="0" w:space="0" w:color="auto"/>
            <w:left w:val="none" w:sz="0" w:space="0" w:color="auto"/>
            <w:bottom w:val="none" w:sz="0" w:space="0" w:color="auto"/>
            <w:right w:val="none" w:sz="0" w:space="0" w:color="auto"/>
          </w:divBdr>
        </w:div>
        <w:div w:id="782923962">
          <w:marLeft w:val="0"/>
          <w:marRight w:val="0"/>
          <w:marTop w:val="0"/>
          <w:marBottom w:val="0"/>
          <w:divBdr>
            <w:top w:val="none" w:sz="0" w:space="0" w:color="auto"/>
            <w:left w:val="none" w:sz="0" w:space="0" w:color="auto"/>
            <w:bottom w:val="none" w:sz="0" w:space="0" w:color="auto"/>
            <w:right w:val="none" w:sz="0" w:space="0" w:color="auto"/>
          </w:divBdr>
        </w:div>
        <w:div w:id="385028223">
          <w:marLeft w:val="0"/>
          <w:marRight w:val="0"/>
          <w:marTop w:val="0"/>
          <w:marBottom w:val="0"/>
          <w:divBdr>
            <w:top w:val="none" w:sz="0" w:space="0" w:color="auto"/>
            <w:left w:val="none" w:sz="0" w:space="0" w:color="auto"/>
            <w:bottom w:val="none" w:sz="0" w:space="0" w:color="auto"/>
            <w:right w:val="none" w:sz="0" w:space="0" w:color="auto"/>
          </w:divBdr>
        </w:div>
        <w:div w:id="1445462361">
          <w:marLeft w:val="0"/>
          <w:marRight w:val="0"/>
          <w:marTop w:val="0"/>
          <w:marBottom w:val="0"/>
          <w:divBdr>
            <w:top w:val="none" w:sz="0" w:space="0" w:color="auto"/>
            <w:left w:val="none" w:sz="0" w:space="0" w:color="auto"/>
            <w:bottom w:val="none" w:sz="0" w:space="0" w:color="auto"/>
            <w:right w:val="none" w:sz="0" w:space="0" w:color="auto"/>
          </w:divBdr>
        </w:div>
        <w:div w:id="964962724">
          <w:marLeft w:val="0"/>
          <w:marRight w:val="0"/>
          <w:marTop w:val="0"/>
          <w:marBottom w:val="0"/>
          <w:divBdr>
            <w:top w:val="none" w:sz="0" w:space="0" w:color="auto"/>
            <w:left w:val="none" w:sz="0" w:space="0" w:color="auto"/>
            <w:bottom w:val="none" w:sz="0" w:space="0" w:color="auto"/>
            <w:right w:val="none" w:sz="0" w:space="0" w:color="auto"/>
          </w:divBdr>
        </w:div>
        <w:div w:id="304435535">
          <w:marLeft w:val="0"/>
          <w:marRight w:val="0"/>
          <w:marTop w:val="0"/>
          <w:marBottom w:val="0"/>
          <w:divBdr>
            <w:top w:val="none" w:sz="0" w:space="0" w:color="auto"/>
            <w:left w:val="none" w:sz="0" w:space="0" w:color="auto"/>
            <w:bottom w:val="none" w:sz="0" w:space="0" w:color="auto"/>
            <w:right w:val="none" w:sz="0" w:space="0" w:color="auto"/>
          </w:divBdr>
        </w:div>
        <w:div w:id="1920753084">
          <w:marLeft w:val="0"/>
          <w:marRight w:val="0"/>
          <w:marTop w:val="0"/>
          <w:marBottom w:val="0"/>
          <w:divBdr>
            <w:top w:val="none" w:sz="0" w:space="0" w:color="auto"/>
            <w:left w:val="none" w:sz="0" w:space="0" w:color="auto"/>
            <w:bottom w:val="none" w:sz="0" w:space="0" w:color="auto"/>
            <w:right w:val="none" w:sz="0" w:space="0" w:color="auto"/>
          </w:divBdr>
        </w:div>
        <w:div w:id="333147973">
          <w:marLeft w:val="0"/>
          <w:marRight w:val="0"/>
          <w:marTop w:val="0"/>
          <w:marBottom w:val="0"/>
          <w:divBdr>
            <w:top w:val="none" w:sz="0" w:space="0" w:color="auto"/>
            <w:left w:val="none" w:sz="0" w:space="0" w:color="auto"/>
            <w:bottom w:val="none" w:sz="0" w:space="0" w:color="auto"/>
            <w:right w:val="none" w:sz="0" w:space="0" w:color="auto"/>
          </w:divBdr>
        </w:div>
        <w:div w:id="1432815504">
          <w:marLeft w:val="0"/>
          <w:marRight w:val="0"/>
          <w:marTop w:val="0"/>
          <w:marBottom w:val="0"/>
          <w:divBdr>
            <w:top w:val="none" w:sz="0" w:space="0" w:color="auto"/>
            <w:left w:val="none" w:sz="0" w:space="0" w:color="auto"/>
            <w:bottom w:val="none" w:sz="0" w:space="0" w:color="auto"/>
            <w:right w:val="none" w:sz="0" w:space="0" w:color="auto"/>
          </w:divBdr>
        </w:div>
        <w:div w:id="608970173">
          <w:marLeft w:val="0"/>
          <w:marRight w:val="0"/>
          <w:marTop w:val="0"/>
          <w:marBottom w:val="0"/>
          <w:divBdr>
            <w:top w:val="none" w:sz="0" w:space="0" w:color="auto"/>
            <w:left w:val="none" w:sz="0" w:space="0" w:color="auto"/>
            <w:bottom w:val="none" w:sz="0" w:space="0" w:color="auto"/>
            <w:right w:val="none" w:sz="0" w:space="0" w:color="auto"/>
          </w:divBdr>
        </w:div>
        <w:div w:id="1445463812">
          <w:marLeft w:val="0"/>
          <w:marRight w:val="0"/>
          <w:marTop w:val="0"/>
          <w:marBottom w:val="0"/>
          <w:divBdr>
            <w:top w:val="none" w:sz="0" w:space="0" w:color="auto"/>
            <w:left w:val="none" w:sz="0" w:space="0" w:color="auto"/>
            <w:bottom w:val="none" w:sz="0" w:space="0" w:color="auto"/>
            <w:right w:val="none" w:sz="0" w:space="0" w:color="auto"/>
          </w:divBdr>
        </w:div>
        <w:div w:id="1086993740">
          <w:marLeft w:val="0"/>
          <w:marRight w:val="0"/>
          <w:marTop w:val="0"/>
          <w:marBottom w:val="0"/>
          <w:divBdr>
            <w:top w:val="none" w:sz="0" w:space="0" w:color="auto"/>
            <w:left w:val="none" w:sz="0" w:space="0" w:color="auto"/>
            <w:bottom w:val="none" w:sz="0" w:space="0" w:color="auto"/>
            <w:right w:val="none" w:sz="0" w:space="0" w:color="auto"/>
          </w:divBdr>
        </w:div>
        <w:div w:id="1194614839">
          <w:marLeft w:val="0"/>
          <w:marRight w:val="0"/>
          <w:marTop w:val="0"/>
          <w:marBottom w:val="0"/>
          <w:divBdr>
            <w:top w:val="none" w:sz="0" w:space="0" w:color="auto"/>
            <w:left w:val="none" w:sz="0" w:space="0" w:color="auto"/>
            <w:bottom w:val="none" w:sz="0" w:space="0" w:color="auto"/>
            <w:right w:val="none" w:sz="0" w:space="0" w:color="auto"/>
          </w:divBdr>
        </w:div>
        <w:div w:id="1416249419">
          <w:marLeft w:val="0"/>
          <w:marRight w:val="0"/>
          <w:marTop w:val="0"/>
          <w:marBottom w:val="0"/>
          <w:divBdr>
            <w:top w:val="none" w:sz="0" w:space="0" w:color="auto"/>
            <w:left w:val="none" w:sz="0" w:space="0" w:color="auto"/>
            <w:bottom w:val="none" w:sz="0" w:space="0" w:color="auto"/>
            <w:right w:val="none" w:sz="0" w:space="0" w:color="auto"/>
          </w:divBdr>
        </w:div>
        <w:div w:id="689642016">
          <w:marLeft w:val="0"/>
          <w:marRight w:val="0"/>
          <w:marTop w:val="0"/>
          <w:marBottom w:val="0"/>
          <w:divBdr>
            <w:top w:val="none" w:sz="0" w:space="0" w:color="auto"/>
            <w:left w:val="none" w:sz="0" w:space="0" w:color="auto"/>
            <w:bottom w:val="none" w:sz="0" w:space="0" w:color="auto"/>
            <w:right w:val="none" w:sz="0" w:space="0" w:color="auto"/>
          </w:divBdr>
        </w:div>
        <w:div w:id="1254893616">
          <w:marLeft w:val="0"/>
          <w:marRight w:val="0"/>
          <w:marTop w:val="0"/>
          <w:marBottom w:val="0"/>
          <w:divBdr>
            <w:top w:val="none" w:sz="0" w:space="0" w:color="auto"/>
            <w:left w:val="none" w:sz="0" w:space="0" w:color="auto"/>
            <w:bottom w:val="none" w:sz="0" w:space="0" w:color="auto"/>
            <w:right w:val="none" w:sz="0" w:space="0" w:color="auto"/>
          </w:divBdr>
        </w:div>
        <w:div w:id="981927908">
          <w:marLeft w:val="0"/>
          <w:marRight w:val="0"/>
          <w:marTop w:val="0"/>
          <w:marBottom w:val="0"/>
          <w:divBdr>
            <w:top w:val="none" w:sz="0" w:space="0" w:color="auto"/>
            <w:left w:val="none" w:sz="0" w:space="0" w:color="auto"/>
            <w:bottom w:val="none" w:sz="0" w:space="0" w:color="auto"/>
            <w:right w:val="none" w:sz="0" w:space="0" w:color="auto"/>
          </w:divBdr>
        </w:div>
        <w:div w:id="888565824">
          <w:marLeft w:val="0"/>
          <w:marRight w:val="0"/>
          <w:marTop w:val="0"/>
          <w:marBottom w:val="0"/>
          <w:divBdr>
            <w:top w:val="none" w:sz="0" w:space="0" w:color="auto"/>
            <w:left w:val="none" w:sz="0" w:space="0" w:color="auto"/>
            <w:bottom w:val="none" w:sz="0" w:space="0" w:color="auto"/>
            <w:right w:val="none" w:sz="0" w:space="0" w:color="auto"/>
          </w:divBdr>
        </w:div>
        <w:div w:id="1832018419">
          <w:marLeft w:val="0"/>
          <w:marRight w:val="0"/>
          <w:marTop w:val="0"/>
          <w:marBottom w:val="0"/>
          <w:divBdr>
            <w:top w:val="none" w:sz="0" w:space="0" w:color="auto"/>
            <w:left w:val="none" w:sz="0" w:space="0" w:color="auto"/>
            <w:bottom w:val="none" w:sz="0" w:space="0" w:color="auto"/>
            <w:right w:val="none" w:sz="0" w:space="0" w:color="auto"/>
          </w:divBdr>
        </w:div>
        <w:div w:id="1299336682">
          <w:marLeft w:val="0"/>
          <w:marRight w:val="0"/>
          <w:marTop w:val="0"/>
          <w:marBottom w:val="0"/>
          <w:divBdr>
            <w:top w:val="none" w:sz="0" w:space="0" w:color="auto"/>
            <w:left w:val="none" w:sz="0" w:space="0" w:color="auto"/>
            <w:bottom w:val="none" w:sz="0" w:space="0" w:color="auto"/>
            <w:right w:val="none" w:sz="0" w:space="0" w:color="auto"/>
          </w:divBdr>
        </w:div>
        <w:div w:id="486820467">
          <w:marLeft w:val="0"/>
          <w:marRight w:val="0"/>
          <w:marTop w:val="0"/>
          <w:marBottom w:val="0"/>
          <w:divBdr>
            <w:top w:val="none" w:sz="0" w:space="0" w:color="auto"/>
            <w:left w:val="none" w:sz="0" w:space="0" w:color="auto"/>
            <w:bottom w:val="none" w:sz="0" w:space="0" w:color="auto"/>
            <w:right w:val="none" w:sz="0" w:space="0" w:color="auto"/>
          </w:divBdr>
        </w:div>
        <w:div w:id="699087832">
          <w:marLeft w:val="0"/>
          <w:marRight w:val="0"/>
          <w:marTop w:val="0"/>
          <w:marBottom w:val="0"/>
          <w:divBdr>
            <w:top w:val="none" w:sz="0" w:space="0" w:color="auto"/>
            <w:left w:val="none" w:sz="0" w:space="0" w:color="auto"/>
            <w:bottom w:val="none" w:sz="0" w:space="0" w:color="auto"/>
            <w:right w:val="none" w:sz="0" w:space="0" w:color="auto"/>
          </w:divBdr>
        </w:div>
        <w:div w:id="2046782739">
          <w:marLeft w:val="0"/>
          <w:marRight w:val="0"/>
          <w:marTop w:val="0"/>
          <w:marBottom w:val="0"/>
          <w:divBdr>
            <w:top w:val="none" w:sz="0" w:space="0" w:color="auto"/>
            <w:left w:val="none" w:sz="0" w:space="0" w:color="auto"/>
            <w:bottom w:val="none" w:sz="0" w:space="0" w:color="auto"/>
            <w:right w:val="none" w:sz="0" w:space="0" w:color="auto"/>
          </w:divBdr>
        </w:div>
        <w:div w:id="238373775">
          <w:marLeft w:val="0"/>
          <w:marRight w:val="0"/>
          <w:marTop w:val="0"/>
          <w:marBottom w:val="0"/>
          <w:divBdr>
            <w:top w:val="none" w:sz="0" w:space="0" w:color="auto"/>
            <w:left w:val="none" w:sz="0" w:space="0" w:color="auto"/>
            <w:bottom w:val="none" w:sz="0" w:space="0" w:color="auto"/>
            <w:right w:val="none" w:sz="0" w:space="0" w:color="auto"/>
          </w:divBdr>
        </w:div>
        <w:div w:id="1022979111">
          <w:marLeft w:val="0"/>
          <w:marRight w:val="0"/>
          <w:marTop w:val="0"/>
          <w:marBottom w:val="0"/>
          <w:divBdr>
            <w:top w:val="none" w:sz="0" w:space="0" w:color="auto"/>
            <w:left w:val="none" w:sz="0" w:space="0" w:color="auto"/>
            <w:bottom w:val="none" w:sz="0" w:space="0" w:color="auto"/>
            <w:right w:val="none" w:sz="0" w:space="0" w:color="auto"/>
          </w:divBdr>
        </w:div>
        <w:div w:id="698316136">
          <w:marLeft w:val="0"/>
          <w:marRight w:val="0"/>
          <w:marTop w:val="0"/>
          <w:marBottom w:val="0"/>
          <w:divBdr>
            <w:top w:val="none" w:sz="0" w:space="0" w:color="auto"/>
            <w:left w:val="none" w:sz="0" w:space="0" w:color="auto"/>
            <w:bottom w:val="none" w:sz="0" w:space="0" w:color="auto"/>
            <w:right w:val="none" w:sz="0" w:space="0" w:color="auto"/>
          </w:divBdr>
        </w:div>
        <w:div w:id="1046946604">
          <w:marLeft w:val="0"/>
          <w:marRight w:val="0"/>
          <w:marTop w:val="0"/>
          <w:marBottom w:val="0"/>
          <w:divBdr>
            <w:top w:val="none" w:sz="0" w:space="0" w:color="auto"/>
            <w:left w:val="none" w:sz="0" w:space="0" w:color="auto"/>
            <w:bottom w:val="none" w:sz="0" w:space="0" w:color="auto"/>
            <w:right w:val="none" w:sz="0" w:space="0" w:color="auto"/>
          </w:divBdr>
        </w:div>
        <w:div w:id="1871608483">
          <w:marLeft w:val="0"/>
          <w:marRight w:val="0"/>
          <w:marTop w:val="0"/>
          <w:marBottom w:val="0"/>
          <w:divBdr>
            <w:top w:val="none" w:sz="0" w:space="0" w:color="auto"/>
            <w:left w:val="none" w:sz="0" w:space="0" w:color="auto"/>
            <w:bottom w:val="none" w:sz="0" w:space="0" w:color="auto"/>
            <w:right w:val="none" w:sz="0" w:space="0" w:color="auto"/>
          </w:divBdr>
        </w:div>
        <w:div w:id="2030523916">
          <w:marLeft w:val="0"/>
          <w:marRight w:val="0"/>
          <w:marTop w:val="0"/>
          <w:marBottom w:val="0"/>
          <w:divBdr>
            <w:top w:val="none" w:sz="0" w:space="0" w:color="auto"/>
            <w:left w:val="none" w:sz="0" w:space="0" w:color="auto"/>
            <w:bottom w:val="none" w:sz="0" w:space="0" w:color="auto"/>
            <w:right w:val="none" w:sz="0" w:space="0" w:color="auto"/>
          </w:divBdr>
        </w:div>
        <w:div w:id="991328880">
          <w:marLeft w:val="0"/>
          <w:marRight w:val="0"/>
          <w:marTop w:val="0"/>
          <w:marBottom w:val="0"/>
          <w:divBdr>
            <w:top w:val="none" w:sz="0" w:space="0" w:color="auto"/>
            <w:left w:val="none" w:sz="0" w:space="0" w:color="auto"/>
            <w:bottom w:val="none" w:sz="0" w:space="0" w:color="auto"/>
            <w:right w:val="none" w:sz="0" w:space="0" w:color="auto"/>
          </w:divBdr>
        </w:div>
        <w:div w:id="1015763436">
          <w:marLeft w:val="0"/>
          <w:marRight w:val="0"/>
          <w:marTop w:val="0"/>
          <w:marBottom w:val="0"/>
          <w:divBdr>
            <w:top w:val="none" w:sz="0" w:space="0" w:color="auto"/>
            <w:left w:val="none" w:sz="0" w:space="0" w:color="auto"/>
            <w:bottom w:val="none" w:sz="0" w:space="0" w:color="auto"/>
            <w:right w:val="none" w:sz="0" w:space="0" w:color="auto"/>
          </w:divBdr>
        </w:div>
        <w:div w:id="1979605338">
          <w:marLeft w:val="0"/>
          <w:marRight w:val="0"/>
          <w:marTop w:val="0"/>
          <w:marBottom w:val="0"/>
          <w:divBdr>
            <w:top w:val="none" w:sz="0" w:space="0" w:color="auto"/>
            <w:left w:val="none" w:sz="0" w:space="0" w:color="auto"/>
            <w:bottom w:val="none" w:sz="0" w:space="0" w:color="auto"/>
            <w:right w:val="none" w:sz="0" w:space="0" w:color="auto"/>
          </w:divBdr>
        </w:div>
        <w:div w:id="1870608948">
          <w:marLeft w:val="0"/>
          <w:marRight w:val="0"/>
          <w:marTop w:val="0"/>
          <w:marBottom w:val="0"/>
          <w:divBdr>
            <w:top w:val="none" w:sz="0" w:space="0" w:color="auto"/>
            <w:left w:val="none" w:sz="0" w:space="0" w:color="auto"/>
            <w:bottom w:val="none" w:sz="0" w:space="0" w:color="auto"/>
            <w:right w:val="none" w:sz="0" w:space="0" w:color="auto"/>
          </w:divBdr>
        </w:div>
        <w:div w:id="2132505958">
          <w:marLeft w:val="0"/>
          <w:marRight w:val="0"/>
          <w:marTop w:val="0"/>
          <w:marBottom w:val="0"/>
          <w:divBdr>
            <w:top w:val="none" w:sz="0" w:space="0" w:color="auto"/>
            <w:left w:val="none" w:sz="0" w:space="0" w:color="auto"/>
            <w:bottom w:val="none" w:sz="0" w:space="0" w:color="auto"/>
            <w:right w:val="none" w:sz="0" w:space="0" w:color="auto"/>
          </w:divBdr>
        </w:div>
        <w:div w:id="1811165321">
          <w:marLeft w:val="0"/>
          <w:marRight w:val="0"/>
          <w:marTop w:val="0"/>
          <w:marBottom w:val="0"/>
          <w:divBdr>
            <w:top w:val="none" w:sz="0" w:space="0" w:color="auto"/>
            <w:left w:val="none" w:sz="0" w:space="0" w:color="auto"/>
            <w:bottom w:val="none" w:sz="0" w:space="0" w:color="auto"/>
            <w:right w:val="none" w:sz="0" w:space="0" w:color="auto"/>
          </w:divBdr>
        </w:div>
        <w:div w:id="148909090">
          <w:marLeft w:val="0"/>
          <w:marRight w:val="0"/>
          <w:marTop w:val="0"/>
          <w:marBottom w:val="0"/>
          <w:divBdr>
            <w:top w:val="none" w:sz="0" w:space="0" w:color="auto"/>
            <w:left w:val="none" w:sz="0" w:space="0" w:color="auto"/>
            <w:bottom w:val="none" w:sz="0" w:space="0" w:color="auto"/>
            <w:right w:val="none" w:sz="0" w:space="0" w:color="auto"/>
          </w:divBdr>
        </w:div>
        <w:div w:id="428698218">
          <w:marLeft w:val="0"/>
          <w:marRight w:val="0"/>
          <w:marTop w:val="0"/>
          <w:marBottom w:val="0"/>
          <w:divBdr>
            <w:top w:val="none" w:sz="0" w:space="0" w:color="auto"/>
            <w:left w:val="none" w:sz="0" w:space="0" w:color="auto"/>
            <w:bottom w:val="none" w:sz="0" w:space="0" w:color="auto"/>
            <w:right w:val="none" w:sz="0" w:space="0" w:color="auto"/>
          </w:divBdr>
        </w:div>
        <w:div w:id="2107572435">
          <w:marLeft w:val="0"/>
          <w:marRight w:val="0"/>
          <w:marTop w:val="0"/>
          <w:marBottom w:val="0"/>
          <w:divBdr>
            <w:top w:val="none" w:sz="0" w:space="0" w:color="auto"/>
            <w:left w:val="none" w:sz="0" w:space="0" w:color="auto"/>
            <w:bottom w:val="none" w:sz="0" w:space="0" w:color="auto"/>
            <w:right w:val="none" w:sz="0" w:space="0" w:color="auto"/>
          </w:divBdr>
        </w:div>
        <w:div w:id="878862007">
          <w:marLeft w:val="0"/>
          <w:marRight w:val="0"/>
          <w:marTop w:val="0"/>
          <w:marBottom w:val="0"/>
          <w:divBdr>
            <w:top w:val="none" w:sz="0" w:space="0" w:color="auto"/>
            <w:left w:val="none" w:sz="0" w:space="0" w:color="auto"/>
            <w:bottom w:val="none" w:sz="0" w:space="0" w:color="auto"/>
            <w:right w:val="none" w:sz="0" w:space="0" w:color="auto"/>
          </w:divBdr>
        </w:div>
        <w:div w:id="606929607">
          <w:marLeft w:val="0"/>
          <w:marRight w:val="0"/>
          <w:marTop w:val="0"/>
          <w:marBottom w:val="0"/>
          <w:divBdr>
            <w:top w:val="none" w:sz="0" w:space="0" w:color="auto"/>
            <w:left w:val="none" w:sz="0" w:space="0" w:color="auto"/>
            <w:bottom w:val="none" w:sz="0" w:space="0" w:color="auto"/>
            <w:right w:val="none" w:sz="0" w:space="0" w:color="auto"/>
          </w:divBdr>
        </w:div>
        <w:div w:id="642347777">
          <w:marLeft w:val="0"/>
          <w:marRight w:val="0"/>
          <w:marTop w:val="0"/>
          <w:marBottom w:val="0"/>
          <w:divBdr>
            <w:top w:val="none" w:sz="0" w:space="0" w:color="auto"/>
            <w:left w:val="none" w:sz="0" w:space="0" w:color="auto"/>
            <w:bottom w:val="none" w:sz="0" w:space="0" w:color="auto"/>
            <w:right w:val="none" w:sz="0" w:space="0" w:color="auto"/>
          </w:divBdr>
        </w:div>
        <w:div w:id="600184469">
          <w:marLeft w:val="0"/>
          <w:marRight w:val="0"/>
          <w:marTop w:val="0"/>
          <w:marBottom w:val="0"/>
          <w:divBdr>
            <w:top w:val="none" w:sz="0" w:space="0" w:color="auto"/>
            <w:left w:val="none" w:sz="0" w:space="0" w:color="auto"/>
            <w:bottom w:val="none" w:sz="0" w:space="0" w:color="auto"/>
            <w:right w:val="none" w:sz="0" w:space="0" w:color="auto"/>
          </w:divBdr>
        </w:div>
        <w:div w:id="1516264363">
          <w:marLeft w:val="0"/>
          <w:marRight w:val="0"/>
          <w:marTop w:val="0"/>
          <w:marBottom w:val="0"/>
          <w:divBdr>
            <w:top w:val="none" w:sz="0" w:space="0" w:color="auto"/>
            <w:left w:val="none" w:sz="0" w:space="0" w:color="auto"/>
            <w:bottom w:val="none" w:sz="0" w:space="0" w:color="auto"/>
            <w:right w:val="none" w:sz="0" w:space="0" w:color="auto"/>
          </w:divBdr>
        </w:div>
        <w:div w:id="1380324468">
          <w:marLeft w:val="0"/>
          <w:marRight w:val="0"/>
          <w:marTop w:val="0"/>
          <w:marBottom w:val="0"/>
          <w:divBdr>
            <w:top w:val="none" w:sz="0" w:space="0" w:color="auto"/>
            <w:left w:val="none" w:sz="0" w:space="0" w:color="auto"/>
            <w:bottom w:val="none" w:sz="0" w:space="0" w:color="auto"/>
            <w:right w:val="none" w:sz="0" w:space="0" w:color="auto"/>
          </w:divBdr>
        </w:div>
        <w:div w:id="1109936568">
          <w:marLeft w:val="0"/>
          <w:marRight w:val="0"/>
          <w:marTop w:val="0"/>
          <w:marBottom w:val="0"/>
          <w:divBdr>
            <w:top w:val="none" w:sz="0" w:space="0" w:color="auto"/>
            <w:left w:val="none" w:sz="0" w:space="0" w:color="auto"/>
            <w:bottom w:val="none" w:sz="0" w:space="0" w:color="auto"/>
            <w:right w:val="none" w:sz="0" w:space="0" w:color="auto"/>
          </w:divBdr>
        </w:div>
        <w:div w:id="841823812">
          <w:marLeft w:val="0"/>
          <w:marRight w:val="0"/>
          <w:marTop w:val="0"/>
          <w:marBottom w:val="0"/>
          <w:divBdr>
            <w:top w:val="none" w:sz="0" w:space="0" w:color="auto"/>
            <w:left w:val="none" w:sz="0" w:space="0" w:color="auto"/>
            <w:bottom w:val="none" w:sz="0" w:space="0" w:color="auto"/>
            <w:right w:val="none" w:sz="0" w:space="0" w:color="auto"/>
          </w:divBdr>
        </w:div>
        <w:div w:id="1634211625">
          <w:marLeft w:val="0"/>
          <w:marRight w:val="0"/>
          <w:marTop w:val="0"/>
          <w:marBottom w:val="0"/>
          <w:divBdr>
            <w:top w:val="none" w:sz="0" w:space="0" w:color="auto"/>
            <w:left w:val="none" w:sz="0" w:space="0" w:color="auto"/>
            <w:bottom w:val="none" w:sz="0" w:space="0" w:color="auto"/>
            <w:right w:val="none" w:sz="0" w:space="0" w:color="auto"/>
          </w:divBdr>
        </w:div>
        <w:div w:id="342976019">
          <w:marLeft w:val="0"/>
          <w:marRight w:val="0"/>
          <w:marTop w:val="0"/>
          <w:marBottom w:val="0"/>
          <w:divBdr>
            <w:top w:val="none" w:sz="0" w:space="0" w:color="auto"/>
            <w:left w:val="none" w:sz="0" w:space="0" w:color="auto"/>
            <w:bottom w:val="none" w:sz="0" w:space="0" w:color="auto"/>
            <w:right w:val="none" w:sz="0" w:space="0" w:color="auto"/>
          </w:divBdr>
        </w:div>
        <w:div w:id="477766151">
          <w:marLeft w:val="0"/>
          <w:marRight w:val="0"/>
          <w:marTop w:val="0"/>
          <w:marBottom w:val="0"/>
          <w:divBdr>
            <w:top w:val="none" w:sz="0" w:space="0" w:color="auto"/>
            <w:left w:val="none" w:sz="0" w:space="0" w:color="auto"/>
            <w:bottom w:val="none" w:sz="0" w:space="0" w:color="auto"/>
            <w:right w:val="none" w:sz="0" w:space="0" w:color="auto"/>
          </w:divBdr>
        </w:div>
        <w:div w:id="1781801943">
          <w:marLeft w:val="0"/>
          <w:marRight w:val="0"/>
          <w:marTop w:val="0"/>
          <w:marBottom w:val="0"/>
          <w:divBdr>
            <w:top w:val="none" w:sz="0" w:space="0" w:color="auto"/>
            <w:left w:val="none" w:sz="0" w:space="0" w:color="auto"/>
            <w:bottom w:val="none" w:sz="0" w:space="0" w:color="auto"/>
            <w:right w:val="none" w:sz="0" w:space="0" w:color="auto"/>
          </w:divBdr>
        </w:div>
        <w:div w:id="204483759">
          <w:marLeft w:val="0"/>
          <w:marRight w:val="0"/>
          <w:marTop w:val="0"/>
          <w:marBottom w:val="0"/>
          <w:divBdr>
            <w:top w:val="none" w:sz="0" w:space="0" w:color="auto"/>
            <w:left w:val="none" w:sz="0" w:space="0" w:color="auto"/>
            <w:bottom w:val="none" w:sz="0" w:space="0" w:color="auto"/>
            <w:right w:val="none" w:sz="0" w:space="0" w:color="auto"/>
          </w:divBdr>
        </w:div>
        <w:div w:id="1051156335">
          <w:marLeft w:val="0"/>
          <w:marRight w:val="0"/>
          <w:marTop w:val="0"/>
          <w:marBottom w:val="0"/>
          <w:divBdr>
            <w:top w:val="none" w:sz="0" w:space="0" w:color="auto"/>
            <w:left w:val="none" w:sz="0" w:space="0" w:color="auto"/>
            <w:bottom w:val="none" w:sz="0" w:space="0" w:color="auto"/>
            <w:right w:val="none" w:sz="0" w:space="0" w:color="auto"/>
          </w:divBdr>
        </w:div>
        <w:div w:id="942105262">
          <w:marLeft w:val="0"/>
          <w:marRight w:val="0"/>
          <w:marTop w:val="0"/>
          <w:marBottom w:val="0"/>
          <w:divBdr>
            <w:top w:val="none" w:sz="0" w:space="0" w:color="auto"/>
            <w:left w:val="none" w:sz="0" w:space="0" w:color="auto"/>
            <w:bottom w:val="none" w:sz="0" w:space="0" w:color="auto"/>
            <w:right w:val="none" w:sz="0" w:space="0" w:color="auto"/>
          </w:divBdr>
        </w:div>
        <w:div w:id="1149589593">
          <w:marLeft w:val="0"/>
          <w:marRight w:val="0"/>
          <w:marTop w:val="0"/>
          <w:marBottom w:val="0"/>
          <w:divBdr>
            <w:top w:val="none" w:sz="0" w:space="0" w:color="auto"/>
            <w:left w:val="none" w:sz="0" w:space="0" w:color="auto"/>
            <w:bottom w:val="none" w:sz="0" w:space="0" w:color="auto"/>
            <w:right w:val="none" w:sz="0" w:space="0" w:color="auto"/>
          </w:divBdr>
        </w:div>
        <w:div w:id="1624773856">
          <w:marLeft w:val="0"/>
          <w:marRight w:val="0"/>
          <w:marTop w:val="0"/>
          <w:marBottom w:val="0"/>
          <w:divBdr>
            <w:top w:val="none" w:sz="0" w:space="0" w:color="auto"/>
            <w:left w:val="none" w:sz="0" w:space="0" w:color="auto"/>
            <w:bottom w:val="none" w:sz="0" w:space="0" w:color="auto"/>
            <w:right w:val="none" w:sz="0" w:space="0" w:color="auto"/>
          </w:divBdr>
        </w:div>
        <w:div w:id="1624312079">
          <w:marLeft w:val="0"/>
          <w:marRight w:val="0"/>
          <w:marTop w:val="0"/>
          <w:marBottom w:val="0"/>
          <w:divBdr>
            <w:top w:val="none" w:sz="0" w:space="0" w:color="auto"/>
            <w:left w:val="none" w:sz="0" w:space="0" w:color="auto"/>
            <w:bottom w:val="none" w:sz="0" w:space="0" w:color="auto"/>
            <w:right w:val="none" w:sz="0" w:space="0" w:color="auto"/>
          </w:divBdr>
        </w:div>
        <w:div w:id="117918893">
          <w:marLeft w:val="0"/>
          <w:marRight w:val="0"/>
          <w:marTop w:val="0"/>
          <w:marBottom w:val="0"/>
          <w:divBdr>
            <w:top w:val="none" w:sz="0" w:space="0" w:color="auto"/>
            <w:left w:val="none" w:sz="0" w:space="0" w:color="auto"/>
            <w:bottom w:val="none" w:sz="0" w:space="0" w:color="auto"/>
            <w:right w:val="none" w:sz="0" w:space="0" w:color="auto"/>
          </w:divBdr>
        </w:div>
        <w:div w:id="554046012">
          <w:marLeft w:val="0"/>
          <w:marRight w:val="0"/>
          <w:marTop w:val="0"/>
          <w:marBottom w:val="0"/>
          <w:divBdr>
            <w:top w:val="none" w:sz="0" w:space="0" w:color="auto"/>
            <w:left w:val="none" w:sz="0" w:space="0" w:color="auto"/>
            <w:bottom w:val="none" w:sz="0" w:space="0" w:color="auto"/>
            <w:right w:val="none" w:sz="0" w:space="0" w:color="auto"/>
          </w:divBdr>
        </w:div>
        <w:div w:id="533425511">
          <w:marLeft w:val="0"/>
          <w:marRight w:val="0"/>
          <w:marTop w:val="0"/>
          <w:marBottom w:val="0"/>
          <w:divBdr>
            <w:top w:val="none" w:sz="0" w:space="0" w:color="auto"/>
            <w:left w:val="none" w:sz="0" w:space="0" w:color="auto"/>
            <w:bottom w:val="none" w:sz="0" w:space="0" w:color="auto"/>
            <w:right w:val="none" w:sz="0" w:space="0" w:color="auto"/>
          </w:divBdr>
        </w:div>
        <w:div w:id="829448731">
          <w:marLeft w:val="0"/>
          <w:marRight w:val="0"/>
          <w:marTop w:val="0"/>
          <w:marBottom w:val="0"/>
          <w:divBdr>
            <w:top w:val="none" w:sz="0" w:space="0" w:color="auto"/>
            <w:left w:val="none" w:sz="0" w:space="0" w:color="auto"/>
            <w:bottom w:val="none" w:sz="0" w:space="0" w:color="auto"/>
            <w:right w:val="none" w:sz="0" w:space="0" w:color="auto"/>
          </w:divBdr>
        </w:div>
        <w:div w:id="1479105494">
          <w:marLeft w:val="0"/>
          <w:marRight w:val="0"/>
          <w:marTop w:val="0"/>
          <w:marBottom w:val="0"/>
          <w:divBdr>
            <w:top w:val="none" w:sz="0" w:space="0" w:color="auto"/>
            <w:left w:val="none" w:sz="0" w:space="0" w:color="auto"/>
            <w:bottom w:val="none" w:sz="0" w:space="0" w:color="auto"/>
            <w:right w:val="none" w:sz="0" w:space="0" w:color="auto"/>
          </w:divBdr>
        </w:div>
        <w:div w:id="1364137566">
          <w:marLeft w:val="0"/>
          <w:marRight w:val="0"/>
          <w:marTop w:val="0"/>
          <w:marBottom w:val="0"/>
          <w:divBdr>
            <w:top w:val="none" w:sz="0" w:space="0" w:color="auto"/>
            <w:left w:val="none" w:sz="0" w:space="0" w:color="auto"/>
            <w:bottom w:val="none" w:sz="0" w:space="0" w:color="auto"/>
            <w:right w:val="none" w:sz="0" w:space="0" w:color="auto"/>
          </w:divBdr>
        </w:div>
        <w:div w:id="279260981">
          <w:marLeft w:val="0"/>
          <w:marRight w:val="0"/>
          <w:marTop w:val="0"/>
          <w:marBottom w:val="0"/>
          <w:divBdr>
            <w:top w:val="none" w:sz="0" w:space="0" w:color="auto"/>
            <w:left w:val="none" w:sz="0" w:space="0" w:color="auto"/>
            <w:bottom w:val="none" w:sz="0" w:space="0" w:color="auto"/>
            <w:right w:val="none" w:sz="0" w:space="0" w:color="auto"/>
          </w:divBdr>
        </w:div>
        <w:div w:id="212235045">
          <w:marLeft w:val="0"/>
          <w:marRight w:val="0"/>
          <w:marTop w:val="0"/>
          <w:marBottom w:val="0"/>
          <w:divBdr>
            <w:top w:val="none" w:sz="0" w:space="0" w:color="auto"/>
            <w:left w:val="none" w:sz="0" w:space="0" w:color="auto"/>
            <w:bottom w:val="none" w:sz="0" w:space="0" w:color="auto"/>
            <w:right w:val="none" w:sz="0" w:space="0" w:color="auto"/>
          </w:divBdr>
        </w:div>
        <w:div w:id="1895654386">
          <w:marLeft w:val="0"/>
          <w:marRight w:val="0"/>
          <w:marTop w:val="0"/>
          <w:marBottom w:val="0"/>
          <w:divBdr>
            <w:top w:val="none" w:sz="0" w:space="0" w:color="auto"/>
            <w:left w:val="none" w:sz="0" w:space="0" w:color="auto"/>
            <w:bottom w:val="none" w:sz="0" w:space="0" w:color="auto"/>
            <w:right w:val="none" w:sz="0" w:space="0" w:color="auto"/>
          </w:divBdr>
        </w:div>
        <w:div w:id="1351302236">
          <w:marLeft w:val="0"/>
          <w:marRight w:val="0"/>
          <w:marTop w:val="0"/>
          <w:marBottom w:val="0"/>
          <w:divBdr>
            <w:top w:val="none" w:sz="0" w:space="0" w:color="auto"/>
            <w:left w:val="none" w:sz="0" w:space="0" w:color="auto"/>
            <w:bottom w:val="none" w:sz="0" w:space="0" w:color="auto"/>
            <w:right w:val="none" w:sz="0" w:space="0" w:color="auto"/>
          </w:divBdr>
        </w:div>
        <w:div w:id="850729035">
          <w:marLeft w:val="0"/>
          <w:marRight w:val="0"/>
          <w:marTop w:val="0"/>
          <w:marBottom w:val="0"/>
          <w:divBdr>
            <w:top w:val="none" w:sz="0" w:space="0" w:color="auto"/>
            <w:left w:val="none" w:sz="0" w:space="0" w:color="auto"/>
            <w:bottom w:val="none" w:sz="0" w:space="0" w:color="auto"/>
            <w:right w:val="none" w:sz="0" w:space="0" w:color="auto"/>
          </w:divBdr>
        </w:div>
        <w:div w:id="1955596476">
          <w:marLeft w:val="0"/>
          <w:marRight w:val="0"/>
          <w:marTop w:val="0"/>
          <w:marBottom w:val="0"/>
          <w:divBdr>
            <w:top w:val="none" w:sz="0" w:space="0" w:color="auto"/>
            <w:left w:val="none" w:sz="0" w:space="0" w:color="auto"/>
            <w:bottom w:val="none" w:sz="0" w:space="0" w:color="auto"/>
            <w:right w:val="none" w:sz="0" w:space="0" w:color="auto"/>
          </w:divBdr>
        </w:div>
        <w:div w:id="651787056">
          <w:marLeft w:val="0"/>
          <w:marRight w:val="0"/>
          <w:marTop w:val="0"/>
          <w:marBottom w:val="0"/>
          <w:divBdr>
            <w:top w:val="none" w:sz="0" w:space="0" w:color="auto"/>
            <w:left w:val="none" w:sz="0" w:space="0" w:color="auto"/>
            <w:bottom w:val="none" w:sz="0" w:space="0" w:color="auto"/>
            <w:right w:val="none" w:sz="0" w:space="0" w:color="auto"/>
          </w:divBdr>
        </w:div>
        <w:div w:id="104543289">
          <w:marLeft w:val="0"/>
          <w:marRight w:val="0"/>
          <w:marTop w:val="0"/>
          <w:marBottom w:val="0"/>
          <w:divBdr>
            <w:top w:val="none" w:sz="0" w:space="0" w:color="auto"/>
            <w:left w:val="none" w:sz="0" w:space="0" w:color="auto"/>
            <w:bottom w:val="none" w:sz="0" w:space="0" w:color="auto"/>
            <w:right w:val="none" w:sz="0" w:space="0" w:color="auto"/>
          </w:divBdr>
        </w:div>
        <w:div w:id="1981617750">
          <w:marLeft w:val="0"/>
          <w:marRight w:val="0"/>
          <w:marTop w:val="0"/>
          <w:marBottom w:val="0"/>
          <w:divBdr>
            <w:top w:val="none" w:sz="0" w:space="0" w:color="auto"/>
            <w:left w:val="none" w:sz="0" w:space="0" w:color="auto"/>
            <w:bottom w:val="none" w:sz="0" w:space="0" w:color="auto"/>
            <w:right w:val="none" w:sz="0" w:space="0" w:color="auto"/>
          </w:divBdr>
        </w:div>
        <w:div w:id="2037078806">
          <w:marLeft w:val="0"/>
          <w:marRight w:val="0"/>
          <w:marTop w:val="0"/>
          <w:marBottom w:val="0"/>
          <w:divBdr>
            <w:top w:val="none" w:sz="0" w:space="0" w:color="auto"/>
            <w:left w:val="none" w:sz="0" w:space="0" w:color="auto"/>
            <w:bottom w:val="none" w:sz="0" w:space="0" w:color="auto"/>
            <w:right w:val="none" w:sz="0" w:space="0" w:color="auto"/>
          </w:divBdr>
        </w:div>
        <w:div w:id="1960183267">
          <w:marLeft w:val="0"/>
          <w:marRight w:val="0"/>
          <w:marTop w:val="0"/>
          <w:marBottom w:val="0"/>
          <w:divBdr>
            <w:top w:val="none" w:sz="0" w:space="0" w:color="auto"/>
            <w:left w:val="none" w:sz="0" w:space="0" w:color="auto"/>
            <w:bottom w:val="none" w:sz="0" w:space="0" w:color="auto"/>
            <w:right w:val="none" w:sz="0" w:space="0" w:color="auto"/>
          </w:divBdr>
        </w:div>
        <w:div w:id="1280642152">
          <w:marLeft w:val="0"/>
          <w:marRight w:val="0"/>
          <w:marTop w:val="0"/>
          <w:marBottom w:val="0"/>
          <w:divBdr>
            <w:top w:val="none" w:sz="0" w:space="0" w:color="auto"/>
            <w:left w:val="none" w:sz="0" w:space="0" w:color="auto"/>
            <w:bottom w:val="none" w:sz="0" w:space="0" w:color="auto"/>
            <w:right w:val="none" w:sz="0" w:space="0" w:color="auto"/>
          </w:divBdr>
        </w:div>
        <w:div w:id="1980645183">
          <w:marLeft w:val="0"/>
          <w:marRight w:val="0"/>
          <w:marTop w:val="0"/>
          <w:marBottom w:val="0"/>
          <w:divBdr>
            <w:top w:val="none" w:sz="0" w:space="0" w:color="auto"/>
            <w:left w:val="none" w:sz="0" w:space="0" w:color="auto"/>
            <w:bottom w:val="none" w:sz="0" w:space="0" w:color="auto"/>
            <w:right w:val="none" w:sz="0" w:space="0" w:color="auto"/>
          </w:divBdr>
        </w:div>
        <w:div w:id="1611543875">
          <w:marLeft w:val="0"/>
          <w:marRight w:val="0"/>
          <w:marTop w:val="0"/>
          <w:marBottom w:val="0"/>
          <w:divBdr>
            <w:top w:val="none" w:sz="0" w:space="0" w:color="auto"/>
            <w:left w:val="none" w:sz="0" w:space="0" w:color="auto"/>
            <w:bottom w:val="none" w:sz="0" w:space="0" w:color="auto"/>
            <w:right w:val="none" w:sz="0" w:space="0" w:color="auto"/>
          </w:divBdr>
        </w:div>
        <w:div w:id="1502039221">
          <w:marLeft w:val="0"/>
          <w:marRight w:val="0"/>
          <w:marTop w:val="0"/>
          <w:marBottom w:val="0"/>
          <w:divBdr>
            <w:top w:val="none" w:sz="0" w:space="0" w:color="auto"/>
            <w:left w:val="none" w:sz="0" w:space="0" w:color="auto"/>
            <w:bottom w:val="none" w:sz="0" w:space="0" w:color="auto"/>
            <w:right w:val="none" w:sz="0" w:space="0" w:color="auto"/>
          </w:divBdr>
        </w:div>
        <w:div w:id="1490516336">
          <w:marLeft w:val="0"/>
          <w:marRight w:val="0"/>
          <w:marTop w:val="0"/>
          <w:marBottom w:val="0"/>
          <w:divBdr>
            <w:top w:val="none" w:sz="0" w:space="0" w:color="auto"/>
            <w:left w:val="none" w:sz="0" w:space="0" w:color="auto"/>
            <w:bottom w:val="none" w:sz="0" w:space="0" w:color="auto"/>
            <w:right w:val="none" w:sz="0" w:space="0" w:color="auto"/>
          </w:divBdr>
        </w:div>
        <w:div w:id="1673485709">
          <w:marLeft w:val="0"/>
          <w:marRight w:val="0"/>
          <w:marTop w:val="0"/>
          <w:marBottom w:val="0"/>
          <w:divBdr>
            <w:top w:val="none" w:sz="0" w:space="0" w:color="auto"/>
            <w:left w:val="none" w:sz="0" w:space="0" w:color="auto"/>
            <w:bottom w:val="none" w:sz="0" w:space="0" w:color="auto"/>
            <w:right w:val="none" w:sz="0" w:space="0" w:color="auto"/>
          </w:divBdr>
        </w:div>
        <w:div w:id="425460929">
          <w:marLeft w:val="0"/>
          <w:marRight w:val="0"/>
          <w:marTop w:val="0"/>
          <w:marBottom w:val="0"/>
          <w:divBdr>
            <w:top w:val="none" w:sz="0" w:space="0" w:color="auto"/>
            <w:left w:val="none" w:sz="0" w:space="0" w:color="auto"/>
            <w:bottom w:val="none" w:sz="0" w:space="0" w:color="auto"/>
            <w:right w:val="none" w:sz="0" w:space="0" w:color="auto"/>
          </w:divBdr>
        </w:div>
        <w:div w:id="2009938002">
          <w:marLeft w:val="0"/>
          <w:marRight w:val="0"/>
          <w:marTop w:val="0"/>
          <w:marBottom w:val="0"/>
          <w:divBdr>
            <w:top w:val="none" w:sz="0" w:space="0" w:color="auto"/>
            <w:left w:val="none" w:sz="0" w:space="0" w:color="auto"/>
            <w:bottom w:val="none" w:sz="0" w:space="0" w:color="auto"/>
            <w:right w:val="none" w:sz="0" w:space="0" w:color="auto"/>
          </w:divBdr>
        </w:div>
        <w:div w:id="1303391183">
          <w:marLeft w:val="0"/>
          <w:marRight w:val="0"/>
          <w:marTop w:val="0"/>
          <w:marBottom w:val="0"/>
          <w:divBdr>
            <w:top w:val="none" w:sz="0" w:space="0" w:color="auto"/>
            <w:left w:val="none" w:sz="0" w:space="0" w:color="auto"/>
            <w:bottom w:val="none" w:sz="0" w:space="0" w:color="auto"/>
            <w:right w:val="none" w:sz="0" w:space="0" w:color="auto"/>
          </w:divBdr>
        </w:div>
        <w:div w:id="1147162626">
          <w:marLeft w:val="0"/>
          <w:marRight w:val="0"/>
          <w:marTop w:val="0"/>
          <w:marBottom w:val="0"/>
          <w:divBdr>
            <w:top w:val="none" w:sz="0" w:space="0" w:color="auto"/>
            <w:left w:val="none" w:sz="0" w:space="0" w:color="auto"/>
            <w:bottom w:val="none" w:sz="0" w:space="0" w:color="auto"/>
            <w:right w:val="none" w:sz="0" w:space="0" w:color="auto"/>
          </w:divBdr>
        </w:div>
        <w:div w:id="1850875613">
          <w:marLeft w:val="0"/>
          <w:marRight w:val="0"/>
          <w:marTop w:val="0"/>
          <w:marBottom w:val="0"/>
          <w:divBdr>
            <w:top w:val="none" w:sz="0" w:space="0" w:color="auto"/>
            <w:left w:val="none" w:sz="0" w:space="0" w:color="auto"/>
            <w:bottom w:val="none" w:sz="0" w:space="0" w:color="auto"/>
            <w:right w:val="none" w:sz="0" w:space="0" w:color="auto"/>
          </w:divBdr>
        </w:div>
        <w:div w:id="485243991">
          <w:marLeft w:val="0"/>
          <w:marRight w:val="0"/>
          <w:marTop w:val="0"/>
          <w:marBottom w:val="0"/>
          <w:divBdr>
            <w:top w:val="none" w:sz="0" w:space="0" w:color="auto"/>
            <w:left w:val="none" w:sz="0" w:space="0" w:color="auto"/>
            <w:bottom w:val="none" w:sz="0" w:space="0" w:color="auto"/>
            <w:right w:val="none" w:sz="0" w:space="0" w:color="auto"/>
          </w:divBdr>
        </w:div>
        <w:div w:id="1708679937">
          <w:marLeft w:val="0"/>
          <w:marRight w:val="0"/>
          <w:marTop w:val="0"/>
          <w:marBottom w:val="0"/>
          <w:divBdr>
            <w:top w:val="none" w:sz="0" w:space="0" w:color="auto"/>
            <w:left w:val="none" w:sz="0" w:space="0" w:color="auto"/>
            <w:bottom w:val="none" w:sz="0" w:space="0" w:color="auto"/>
            <w:right w:val="none" w:sz="0" w:space="0" w:color="auto"/>
          </w:divBdr>
        </w:div>
        <w:div w:id="867062855">
          <w:marLeft w:val="0"/>
          <w:marRight w:val="0"/>
          <w:marTop w:val="0"/>
          <w:marBottom w:val="0"/>
          <w:divBdr>
            <w:top w:val="none" w:sz="0" w:space="0" w:color="auto"/>
            <w:left w:val="none" w:sz="0" w:space="0" w:color="auto"/>
            <w:bottom w:val="none" w:sz="0" w:space="0" w:color="auto"/>
            <w:right w:val="none" w:sz="0" w:space="0" w:color="auto"/>
          </w:divBdr>
        </w:div>
        <w:div w:id="1201086143">
          <w:marLeft w:val="0"/>
          <w:marRight w:val="0"/>
          <w:marTop w:val="0"/>
          <w:marBottom w:val="0"/>
          <w:divBdr>
            <w:top w:val="none" w:sz="0" w:space="0" w:color="auto"/>
            <w:left w:val="none" w:sz="0" w:space="0" w:color="auto"/>
            <w:bottom w:val="none" w:sz="0" w:space="0" w:color="auto"/>
            <w:right w:val="none" w:sz="0" w:space="0" w:color="auto"/>
          </w:divBdr>
        </w:div>
        <w:div w:id="676735019">
          <w:marLeft w:val="0"/>
          <w:marRight w:val="0"/>
          <w:marTop w:val="0"/>
          <w:marBottom w:val="0"/>
          <w:divBdr>
            <w:top w:val="none" w:sz="0" w:space="0" w:color="auto"/>
            <w:left w:val="none" w:sz="0" w:space="0" w:color="auto"/>
            <w:bottom w:val="none" w:sz="0" w:space="0" w:color="auto"/>
            <w:right w:val="none" w:sz="0" w:space="0" w:color="auto"/>
          </w:divBdr>
        </w:div>
        <w:div w:id="106316146">
          <w:marLeft w:val="0"/>
          <w:marRight w:val="0"/>
          <w:marTop w:val="0"/>
          <w:marBottom w:val="0"/>
          <w:divBdr>
            <w:top w:val="none" w:sz="0" w:space="0" w:color="auto"/>
            <w:left w:val="none" w:sz="0" w:space="0" w:color="auto"/>
            <w:bottom w:val="none" w:sz="0" w:space="0" w:color="auto"/>
            <w:right w:val="none" w:sz="0" w:space="0" w:color="auto"/>
          </w:divBdr>
        </w:div>
        <w:div w:id="1501627755">
          <w:marLeft w:val="0"/>
          <w:marRight w:val="0"/>
          <w:marTop w:val="0"/>
          <w:marBottom w:val="0"/>
          <w:divBdr>
            <w:top w:val="none" w:sz="0" w:space="0" w:color="auto"/>
            <w:left w:val="none" w:sz="0" w:space="0" w:color="auto"/>
            <w:bottom w:val="none" w:sz="0" w:space="0" w:color="auto"/>
            <w:right w:val="none" w:sz="0" w:space="0" w:color="auto"/>
          </w:divBdr>
        </w:div>
        <w:div w:id="1442413877">
          <w:marLeft w:val="0"/>
          <w:marRight w:val="0"/>
          <w:marTop w:val="0"/>
          <w:marBottom w:val="0"/>
          <w:divBdr>
            <w:top w:val="none" w:sz="0" w:space="0" w:color="auto"/>
            <w:left w:val="none" w:sz="0" w:space="0" w:color="auto"/>
            <w:bottom w:val="none" w:sz="0" w:space="0" w:color="auto"/>
            <w:right w:val="none" w:sz="0" w:space="0" w:color="auto"/>
          </w:divBdr>
        </w:div>
        <w:div w:id="2117750682">
          <w:marLeft w:val="0"/>
          <w:marRight w:val="0"/>
          <w:marTop w:val="0"/>
          <w:marBottom w:val="0"/>
          <w:divBdr>
            <w:top w:val="none" w:sz="0" w:space="0" w:color="auto"/>
            <w:left w:val="none" w:sz="0" w:space="0" w:color="auto"/>
            <w:bottom w:val="none" w:sz="0" w:space="0" w:color="auto"/>
            <w:right w:val="none" w:sz="0" w:space="0" w:color="auto"/>
          </w:divBdr>
        </w:div>
        <w:div w:id="1755928559">
          <w:marLeft w:val="0"/>
          <w:marRight w:val="0"/>
          <w:marTop w:val="0"/>
          <w:marBottom w:val="0"/>
          <w:divBdr>
            <w:top w:val="none" w:sz="0" w:space="0" w:color="auto"/>
            <w:left w:val="none" w:sz="0" w:space="0" w:color="auto"/>
            <w:bottom w:val="none" w:sz="0" w:space="0" w:color="auto"/>
            <w:right w:val="none" w:sz="0" w:space="0" w:color="auto"/>
          </w:divBdr>
        </w:div>
        <w:div w:id="152765935">
          <w:marLeft w:val="0"/>
          <w:marRight w:val="0"/>
          <w:marTop w:val="0"/>
          <w:marBottom w:val="0"/>
          <w:divBdr>
            <w:top w:val="none" w:sz="0" w:space="0" w:color="auto"/>
            <w:left w:val="none" w:sz="0" w:space="0" w:color="auto"/>
            <w:bottom w:val="none" w:sz="0" w:space="0" w:color="auto"/>
            <w:right w:val="none" w:sz="0" w:space="0" w:color="auto"/>
          </w:divBdr>
        </w:div>
        <w:div w:id="471991180">
          <w:marLeft w:val="0"/>
          <w:marRight w:val="0"/>
          <w:marTop w:val="0"/>
          <w:marBottom w:val="0"/>
          <w:divBdr>
            <w:top w:val="none" w:sz="0" w:space="0" w:color="auto"/>
            <w:left w:val="none" w:sz="0" w:space="0" w:color="auto"/>
            <w:bottom w:val="none" w:sz="0" w:space="0" w:color="auto"/>
            <w:right w:val="none" w:sz="0" w:space="0" w:color="auto"/>
          </w:divBdr>
        </w:div>
        <w:div w:id="289750937">
          <w:marLeft w:val="0"/>
          <w:marRight w:val="0"/>
          <w:marTop w:val="0"/>
          <w:marBottom w:val="0"/>
          <w:divBdr>
            <w:top w:val="none" w:sz="0" w:space="0" w:color="auto"/>
            <w:left w:val="none" w:sz="0" w:space="0" w:color="auto"/>
            <w:bottom w:val="none" w:sz="0" w:space="0" w:color="auto"/>
            <w:right w:val="none" w:sz="0" w:space="0" w:color="auto"/>
          </w:divBdr>
        </w:div>
        <w:div w:id="1834295622">
          <w:marLeft w:val="0"/>
          <w:marRight w:val="0"/>
          <w:marTop w:val="0"/>
          <w:marBottom w:val="0"/>
          <w:divBdr>
            <w:top w:val="none" w:sz="0" w:space="0" w:color="auto"/>
            <w:left w:val="none" w:sz="0" w:space="0" w:color="auto"/>
            <w:bottom w:val="none" w:sz="0" w:space="0" w:color="auto"/>
            <w:right w:val="none" w:sz="0" w:space="0" w:color="auto"/>
          </w:divBdr>
        </w:div>
        <w:div w:id="443962059">
          <w:marLeft w:val="0"/>
          <w:marRight w:val="0"/>
          <w:marTop w:val="0"/>
          <w:marBottom w:val="0"/>
          <w:divBdr>
            <w:top w:val="none" w:sz="0" w:space="0" w:color="auto"/>
            <w:left w:val="none" w:sz="0" w:space="0" w:color="auto"/>
            <w:bottom w:val="none" w:sz="0" w:space="0" w:color="auto"/>
            <w:right w:val="none" w:sz="0" w:space="0" w:color="auto"/>
          </w:divBdr>
        </w:div>
        <w:div w:id="1316684487">
          <w:marLeft w:val="0"/>
          <w:marRight w:val="0"/>
          <w:marTop w:val="0"/>
          <w:marBottom w:val="0"/>
          <w:divBdr>
            <w:top w:val="none" w:sz="0" w:space="0" w:color="auto"/>
            <w:left w:val="none" w:sz="0" w:space="0" w:color="auto"/>
            <w:bottom w:val="none" w:sz="0" w:space="0" w:color="auto"/>
            <w:right w:val="none" w:sz="0" w:space="0" w:color="auto"/>
          </w:divBdr>
        </w:div>
        <w:div w:id="210576223">
          <w:marLeft w:val="0"/>
          <w:marRight w:val="0"/>
          <w:marTop w:val="0"/>
          <w:marBottom w:val="0"/>
          <w:divBdr>
            <w:top w:val="none" w:sz="0" w:space="0" w:color="auto"/>
            <w:left w:val="none" w:sz="0" w:space="0" w:color="auto"/>
            <w:bottom w:val="none" w:sz="0" w:space="0" w:color="auto"/>
            <w:right w:val="none" w:sz="0" w:space="0" w:color="auto"/>
          </w:divBdr>
        </w:div>
        <w:div w:id="382949978">
          <w:marLeft w:val="0"/>
          <w:marRight w:val="0"/>
          <w:marTop w:val="0"/>
          <w:marBottom w:val="0"/>
          <w:divBdr>
            <w:top w:val="none" w:sz="0" w:space="0" w:color="auto"/>
            <w:left w:val="none" w:sz="0" w:space="0" w:color="auto"/>
            <w:bottom w:val="none" w:sz="0" w:space="0" w:color="auto"/>
            <w:right w:val="none" w:sz="0" w:space="0" w:color="auto"/>
          </w:divBdr>
        </w:div>
        <w:div w:id="1294866462">
          <w:marLeft w:val="0"/>
          <w:marRight w:val="0"/>
          <w:marTop w:val="0"/>
          <w:marBottom w:val="0"/>
          <w:divBdr>
            <w:top w:val="none" w:sz="0" w:space="0" w:color="auto"/>
            <w:left w:val="none" w:sz="0" w:space="0" w:color="auto"/>
            <w:bottom w:val="none" w:sz="0" w:space="0" w:color="auto"/>
            <w:right w:val="none" w:sz="0" w:space="0" w:color="auto"/>
          </w:divBdr>
        </w:div>
        <w:div w:id="1287928072">
          <w:marLeft w:val="0"/>
          <w:marRight w:val="0"/>
          <w:marTop w:val="0"/>
          <w:marBottom w:val="0"/>
          <w:divBdr>
            <w:top w:val="none" w:sz="0" w:space="0" w:color="auto"/>
            <w:left w:val="none" w:sz="0" w:space="0" w:color="auto"/>
            <w:bottom w:val="none" w:sz="0" w:space="0" w:color="auto"/>
            <w:right w:val="none" w:sz="0" w:space="0" w:color="auto"/>
          </w:divBdr>
        </w:div>
        <w:div w:id="174459542">
          <w:marLeft w:val="0"/>
          <w:marRight w:val="0"/>
          <w:marTop w:val="0"/>
          <w:marBottom w:val="0"/>
          <w:divBdr>
            <w:top w:val="none" w:sz="0" w:space="0" w:color="auto"/>
            <w:left w:val="none" w:sz="0" w:space="0" w:color="auto"/>
            <w:bottom w:val="none" w:sz="0" w:space="0" w:color="auto"/>
            <w:right w:val="none" w:sz="0" w:space="0" w:color="auto"/>
          </w:divBdr>
        </w:div>
        <w:div w:id="861169411">
          <w:marLeft w:val="0"/>
          <w:marRight w:val="0"/>
          <w:marTop w:val="0"/>
          <w:marBottom w:val="0"/>
          <w:divBdr>
            <w:top w:val="none" w:sz="0" w:space="0" w:color="auto"/>
            <w:left w:val="none" w:sz="0" w:space="0" w:color="auto"/>
            <w:bottom w:val="none" w:sz="0" w:space="0" w:color="auto"/>
            <w:right w:val="none" w:sz="0" w:space="0" w:color="auto"/>
          </w:divBdr>
        </w:div>
        <w:div w:id="2111000693">
          <w:marLeft w:val="0"/>
          <w:marRight w:val="0"/>
          <w:marTop w:val="0"/>
          <w:marBottom w:val="0"/>
          <w:divBdr>
            <w:top w:val="none" w:sz="0" w:space="0" w:color="auto"/>
            <w:left w:val="none" w:sz="0" w:space="0" w:color="auto"/>
            <w:bottom w:val="none" w:sz="0" w:space="0" w:color="auto"/>
            <w:right w:val="none" w:sz="0" w:space="0" w:color="auto"/>
          </w:divBdr>
        </w:div>
        <w:div w:id="920287153">
          <w:marLeft w:val="0"/>
          <w:marRight w:val="0"/>
          <w:marTop w:val="0"/>
          <w:marBottom w:val="0"/>
          <w:divBdr>
            <w:top w:val="none" w:sz="0" w:space="0" w:color="auto"/>
            <w:left w:val="none" w:sz="0" w:space="0" w:color="auto"/>
            <w:bottom w:val="none" w:sz="0" w:space="0" w:color="auto"/>
            <w:right w:val="none" w:sz="0" w:space="0" w:color="auto"/>
          </w:divBdr>
        </w:div>
        <w:div w:id="1869826906">
          <w:marLeft w:val="0"/>
          <w:marRight w:val="0"/>
          <w:marTop w:val="0"/>
          <w:marBottom w:val="0"/>
          <w:divBdr>
            <w:top w:val="none" w:sz="0" w:space="0" w:color="auto"/>
            <w:left w:val="none" w:sz="0" w:space="0" w:color="auto"/>
            <w:bottom w:val="none" w:sz="0" w:space="0" w:color="auto"/>
            <w:right w:val="none" w:sz="0" w:space="0" w:color="auto"/>
          </w:divBdr>
        </w:div>
        <w:div w:id="1432044271">
          <w:marLeft w:val="0"/>
          <w:marRight w:val="0"/>
          <w:marTop w:val="0"/>
          <w:marBottom w:val="0"/>
          <w:divBdr>
            <w:top w:val="none" w:sz="0" w:space="0" w:color="auto"/>
            <w:left w:val="none" w:sz="0" w:space="0" w:color="auto"/>
            <w:bottom w:val="none" w:sz="0" w:space="0" w:color="auto"/>
            <w:right w:val="none" w:sz="0" w:space="0" w:color="auto"/>
          </w:divBdr>
        </w:div>
        <w:div w:id="1519613623">
          <w:marLeft w:val="0"/>
          <w:marRight w:val="0"/>
          <w:marTop w:val="0"/>
          <w:marBottom w:val="0"/>
          <w:divBdr>
            <w:top w:val="none" w:sz="0" w:space="0" w:color="auto"/>
            <w:left w:val="none" w:sz="0" w:space="0" w:color="auto"/>
            <w:bottom w:val="none" w:sz="0" w:space="0" w:color="auto"/>
            <w:right w:val="none" w:sz="0" w:space="0" w:color="auto"/>
          </w:divBdr>
        </w:div>
        <w:div w:id="1945192420">
          <w:marLeft w:val="0"/>
          <w:marRight w:val="0"/>
          <w:marTop w:val="0"/>
          <w:marBottom w:val="0"/>
          <w:divBdr>
            <w:top w:val="none" w:sz="0" w:space="0" w:color="auto"/>
            <w:left w:val="none" w:sz="0" w:space="0" w:color="auto"/>
            <w:bottom w:val="none" w:sz="0" w:space="0" w:color="auto"/>
            <w:right w:val="none" w:sz="0" w:space="0" w:color="auto"/>
          </w:divBdr>
        </w:div>
        <w:div w:id="227886246">
          <w:marLeft w:val="0"/>
          <w:marRight w:val="0"/>
          <w:marTop w:val="0"/>
          <w:marBottom w:val="0"/>
          <w:divBdr>
            <w:top w:val="none" w:sz="0" w:space="0" w:color="auto"/>
            <w:left w:val="none" w:sz="0" w:space="0" w:color="auto"/>
            <w:bottom w:val="none" w:sz="0" w:space="0" w:color="auto"/>
            <w:right w:val="none" w:sz="0" w:space="0" w:color="auto"/>
          </w:divBdr>
        </w:div>
        <w:div w:id="679939508">
          <w:marLeft w:val="0"/>
          <w:marRight w:val="0"/>
          <w:marTop w:val="0"/>
          <w:marBottom w:val="0"/>
          <w:divBdr>
            <w:top w:val="none" w:sz="0" w:space="0" w:color="auto"/>
            <w:left w:val="none" w:sz="0" w:space="0" w:color="auto"/>
            <w:bottom w:val="none" w:sz="0" w:space="0" w:color="auto"/>
            <w:right w:val="none" w:sz="0" w:space="0" w:color="auto"/>
          </w:divBdr>
        </w:div>
        <w:div w:id="1306085968">
          <w:marLeft w:val="0"/>
          <w:marRight w:val="0"/>
          <w:marTop w:val="0"/>
          <w:marBottom w:val="0"/>
          <w:divBdr>
            <w:top w:val="none" w:sz="0" w:space="0" w:color="auto"/>
            <w:left w:val="none" w:sz="0" w:space="0" w:color="auto"/>
            <w:bottom w:val="none" w:sz="0" w:space="0" w:color="auto"/>
            <w:right w:val="none" w:sz="0" w:space="0" w:color="auto"/>
          </w:divBdr>
        </w:div>
        <w:div w:id="2135828554">
          <w:marLeft w:val="0"/>
          <w:marRight w:val="0"/>
          <w:marTop w:val="0"/>
          <w:marBottom w:val="0"/>
          <w:divBdr>
            <w:top w:val="none" w:sz="0" w:space="0" w:color="auto"/>
            <w:left w:val="none" w:sz="0" w:space="0" w:color="auto"/>
            <w:bottom w:val="none" w:sz="0" w:space="0" w:color="auto"/>
            <w:right w:val="none" w:sz="0" w:space="0" w:color="auto"/>
          </w:divBdr>
        </w:div>
        <w:div w:id="1074930193">
          <w:marLeft w:val="0"/>
          <w:marRight w:val="0"/>
          <w:marTop w:val="0"/>
          <w:marBottom w:val="0"/>
          <w:divBdr>
            <w:top w:val="none" w:sz="0" w:space="0" w:color="auto"/>
            <w:left w:val="none" w:sz="0" w:space="0" w:color="auto"/>
            <w:bottom w:val="none" w:sz="0" w:space="0" w:color="auto"/>
            <w:right w:val="none" w:sz="0" w:space="0" w:color="auto"/>
          </w:divBdr>
        </w:div>
        <w:div w:id="1944652988">
          <w:marLeft w:val="0"/>
          <w:marRight w:val="0"/>
          <w:marTop w:val="0"/>
          <w:marBottom w:val="0"/>
          <w:divBdr>
            <w:top w:val="none" w:sz="0" w:space="0" w:color="auto"/>
            <w:left w:val="none" w:sz="0" w:space="0" w:color="auto"/>
            <w:bottom w:val="none" w:sz="0" w:space="0" w:color="auto"/>
            <w:right w:val="none" w:sz="0" w:space="0" w:color="auto"/>
          </w:divBdr>
        </w:div>
        <w:div w:id="528492330">
          <w:marLeft w:val="0"/>
          <w:marRight w:val="0"/>
          <w:marTop w:val="0"/>
          <w:marBottom w:val="0"/>
          <w:divBdr>
            <w:top w:val="none" w:sz="0" w:space="0" w:color="auto"/>
            <w:left w:val="none" w:sz="0" w:space="0" w:color="auto"/>
            <w:bottom w:val="none" w:sz="0" w:space="0" w:color="auto"/>
            <w:right w:val="none" w:sz="0" w:space="0" w:color="auto"/>
          </w:divBdr>
        </w:div>
        <w:div w:id="2129472627">
          <w:marLeft w:val="0"/>
          <w:marRight w:val="0"/>
          <w:marTop w:val="0"/>
          <w:marBottom w:val="0"/>
          <w:divBdr>
            <w:top w:val="none" w:sz="0" w:space="0" w:color="auto"/>
            <w:left w:val="none" w:sz="0" w:space="0" w:color="auto"/>
            <w:bottom w:val="none" w:sz="0" w:space="0" w:color="auto"/>
            <w:right w:val="none" w:sz="0" w:space="0" w:color="auto"/>
          </w:divBdr>
        </w:div>
        <w:div w:id="1189445120">
          <w:marLeft w:val="0"/>
          <w:marRight w:val="0"/>
          <w:marTop w:val="0"/>
          <w:marBottom w:val="0"/>
          <w:divBdr>
            <w:top w:val="none" w:sz="0" w:space="0" w:color="auto"/>
            <w:left w:val="none" w:sz="0" w:space="0" w:color="auto"/>
            <w:bottom w:val="none" w:sz="0" w:space="0" w:color="auto"/>
            <w:right w:val="none" w:sz="0" w:space="0" w:color="auto"/>
          </w:divBdr>
        </w:div>
        <w:div w:id="1898318310">
          <w:marLeft w:val="0"/>
          <w:marRight w:val="0"/>
          <w:marTop w:val="0"/>
          <w:marBottom w:val="0"/>
          <w:divBdr>
            <w:top w:val="none" w:sz="0" w:space="0" w:color="auto"/>
            <w:left w:val="none" w:sz="0" w:space="0" w:color="auto"/>
            <w:bottom w:val="none" w:sz="0" w:space="0" w:color="auto"/>
            <w:right w:val="none" w:sz="0" w:space="0" w:color="auto"/>
          </w:divBdr>
        </w:div>
        <w:div w:id="1389264852">
          <w:marLeft w:val="0"/>
          <w:marRight w:val="0"/>
          <w:marTop w:val="0"/>
          <w:marBottom w:val="0"/>
          <w:divBdr>
            <w:top w:val="none" w:sz="0" w:space="0" w:color="auto"/>
            <w:left w:val="none" w:sz="0" w:space="0" w:color="auto"/>
            <w:bottom w:val="none" w:sz="0" w:space="0" w:color="auto"/>
            <w:right w:val="none" w:sz="0" w:space="0" w:color="auto"/>
          </w:divBdr>
        </w:div>
        <w:div w:id="318073454">
          <w:marLeft w:val="0"/>
          <w:marRight w:val="0"/>
          <w:marTop w:val="0"/>
          <w:marBottom w:val="0"/>
          <w:divBdr>
            <w:top w:val="none" w:sz="0" w:space="0" w:color="auto"/>
            <w:left w:val="none" w:sz="0" w:space="0" w:color="auto"/>
            <w:bottom w:val="none" w:sz="0" w:space="0" w:color="auto"/>
            <w:right w:val="none" w:sz="0" w:space="0" w:color="auto"/>
          </w:divBdr>
        </w:div>
        <w:div w:id="816989815">
          <w:marLeft w:val="0"/>
          <w:marRight w:val="0"/>
          <w:marTop w:val="0"/>
          <w:marBottom w:val="0"/>
          <w:divBdr>
            <w:top w:val="none" w:sz="0" w:space="0" w:color="auto"/>
            <w:left w:val="none" w:sz="0" w:space="0" w:color="auto"/>
            <w:bottom w:val="none" w:sz="0" w:space="0" w:color="auto"/>
            <w:right w:val="none" w:sz="0" w:space="0" w:color="auto"/>
          </w:divBdr>
        </w:div>
        <w:div w:id="1816406357">
          <w:marLeft w:val="0"/>
          <w:marRight w:val="0"/>
          <w:marTop w:val="0"/>
          <w:marBottom w:val="0"/>
          <w:divBdr>
            <w:top w:val="none" w:sz="0" w:space="0" w:color="auto"/>
            <w:left w:val="none" w:sz="0" w:space="0" w:color="auto"/>
            <w:bottom w:val="none" w:sz="0" w:space="0" w:color="auto"/>
            <w:right w:val="none" w:sz="0" w:space="0" w:color="auto"/>
          </w:divBdr>
        </w:div>
        <w:div w:id="966816922">
          <w:marLeft w:val="0"/>
          <w:marRight w:val="0"/>
          <w:marTop w:val="0"/>
          <w:marBottom w:val="0"/>
          <w:divBdr>
            <w:top w:val="none" w:sz="0" w:space="0" w:color="auto"/>
            <w:left w:val="none" w:sz="0" w:space="0" w:color="auto"/>
            <w:bottom w:val="none" w:sz="0" w:space="0" w:color="auto"/>
            <w:right w:val="none" w:sz="0" w:space="0" w:color="auto"/>
          </w:divBdr>
        </w:div>
        <w:div w:id="1647316374">
          <w:marLeft w:val="0"/>
          <w:marRight w:val="0"/>
          <w:marTop w:val="0"/>
          <w:marBottom w:val="0"/>
          <w:divBdr>
            <w:top w:val="none" w:sz="0" w:space="0" w:color="auto"/>
            <w:left w:val="none" w:sz="0" w:space="0" w:color="auto"/>
            <w:bottom w:val="none" w:sz="0" w:space="0" w:color="auto"/>
            <w:right w:val="none" w:sz="0" w:space="0" w:color="auto"/>
          </w:divBdr>
        </w:div>
        <w:div w:id="1129980839">
          <w:marLeft w:val="0"/>
          <w:marRight w:val="0"/>
          <w:marTop w:val="0"/>
          <w:marBottom w:val="0"/>
          <w:divBdr>
            <w:top w:val="none" w:sz="0" w:space="0" w:color="auto"/>
            <w:left w:val="none" w:sz="0" w:space="0" w:color="auto"/>
            <w:bottom w:val="none" w:sz="0" w:space="0" w:color="auto"/>
            <w:right w:val="none" w:sz="0" w:space="0" w:color="auto"/>
          </w:divBdr>
        </w:div>
        <w:div w:id="1220822706">
          <w:marLeft w:val="0"/>
          <w:marRight w:val="0"/>
          <w:marTop w:val="0"/>
          <w:marBottom w:val="0"/>
          <w:divBdr>
            <w:top w:val="none" w:sz="0" w:space="0" w:color="auto"/>
            <w:left w:val="none" w:sz="0" w:space="0" w:color="auto"/>
            <w:bottom w:val="none" w:sz="0" w:space="0" w:color="auto"/>
            <w:right w:val="none" w:sz="0" w:space="0" w:color="auto"/>
          </w:divBdr>
        </w:div>
        <w:div w:id="941839862">
          <w:marLeft w:val="0"/>
          <w:marRight w:val="0"/>
          <w:marTop w:val="0"/>
          <w:marBottom w:val="0"/>
          <w:divBdr>
            <w:top w:val="none" w:sz="0" w:space="0" w:color="auto"/>
            <w:left w:val="none" w:sz="0" w:space="0" w:color="auto"/>
            <w:bottom w:val="none" w:sz="0" w:space="0" w:color="auto"/>
            <w:right w:val="none" w:sz="0" w:space="0" w:color="auto"/>
          </w:divBdr>
        </w:div>
        <w:div w:id="1334334782">
          <w:marLeft w:val="0"/>
          <w:marRight w:val="0"/>
          <w:marTop w:val="0"/>
          <w:marBottom w:val="0"/>
          <w:divBdr>
            <w:top w:val="none" w:sz="0" w:space="0" w:color="auto"/>
            <w:left w:val="none" w:sz="0" w:space="0" w:color="auto"/>
            <w:bottom w:val="none" w:sz="0" w:space="0" w:color="auto"/>
            <w:right w:val="none" w:sz="0" w:space="0" w:color="auto"/>
          </w:divBdr>
        </w:div>
        <w:div w:id="1204632444">
          <w:marLeft w:val="0"/>
          <w:marRight w:val="0"/>
          <w:marTop w:val="0"/>
          <w:marBottom w:val="0"/>
          <w:divBdr>
            <w:top w:val="none" w:sz="0" w:space="0" w:color="auto"/>
            <w:left w:val="none" w:sz="0" w:space="0" w:color="auto"/>
            <w:bottom w:val="none" w:sz="0" w:space="0" w:color="auto"/>
            <w:right w:val="none" w:sz="0" w:space="0" w:color="auto"/>
          </w:divBdr>
        </w:div>
        <w:div w:id="343022908">
          <w:marLeft w:val="0"/>
          <w:marRight w:val="0"/>
          <w:marTop w:val="0"/>
          <w:marBottom w:val="0"/>
          <w:divBdr>
            <w:top w:val="none" w:sz="0" w:space="0" w:color="auto"/>
            <w:left w:val="none" w:sz="0" w:space="0" w:color="auto"/>
            <w:bottom w:val="none" w:sz="0" w:space="0" w:color="auto"/>
            <w:right w:val="none" w:sz="0" w:space="0" w:color="auto"/>
          </w:divBdr>
        </w:div>
        <w:div w:id="370224160">
          <w:marLeft w:val="0"/>
          <w:marRight w:val="0"/>
          <w:marTop w:val="0"/>
          <w:marBottom w:val="0"/>
          <w:divBdr>
            <w:top w:val="none" w:sz="0" w:space="0" w:color="auto"/>
            <w:left w:val="none" w:sz="0" w:space="0" w:color="auto"/>
            <w:bottom w:val="none" w:sz="0" w:space="0" w:color="auto"/>
            <w:right w:val="none" w:sz="0" w:space="0" w:color="auto"/>
          </w:divBdr>
        </w:div>
        <w:div w:id="1513490087">
          <w:marLeft w:val="0"/>
          <w:marRight w:val="0"/>
          <w:marTop w:val="0"/>
          <w:marBottom w:val="0"/>
          <w:divBdr>
            <w:top w:val="none" w:sz="0" w:space="0" w:color="auto"/>
            <w:left w:val="none" w:sz="0" w:space="0" w:color="auto"/>
            <w:bottom w:val="none" w:sz="0" w:space="0" w:color="auto"/>
            <w:right w:val="none" w:sz="0" w:space="0" w:color="auto"/>
          </w:divBdr>
        </w:div>
        <w:div w:id="1299264819">
          <w:marLeft w:val="0"/>
          <w:marRight w:val="0"/>
          <w:marTop w:val="0"/>
          <w:marBottom w:val="0"/>
          <w:divBdr>
            <w:top w:val="none" w:sz="0" w:space="0" w:color="auto"/>
            <w:left w:val="none" w:sz="0" w:space="0" w:color="auto"/>
            <w:bottom w:val="none" w:sz="0" w:space="0" w:color="auto"/>
            <w:right w:val="none" w:sz="0" w:space="0" w:color="auto"/>
          </w:divBdr>
        </w:div>
        <w:div w:id="2781075">
          <w:marLeft w:val="0"/>
          <w:marRight w:val="0"/>
          <w:marTop w:val="0"/>
          <w:marBottom w:val="0"/>
          <w:divBdr>
            <w:top w:val="none" w:sz="0" w:space="0" w:color="auto"/>
            <w:left w:val="none" w:sz="0" w:space="0" w:color="auto"/>
            <w:bottom w:val="none" w:sz="0" w:space="0" w:color="auto"/>
            <w:right w:val="none" w:sz="0" w:space="0" w:color="auto"/>
          </w:divBdr>
        </w:div>
        <w:div w:id="1009398">
          <w:marLeft w:val="0"/>
          <w:marRight w:val="0"/>
          <w:marTop w:val="0"/>
          <w:marBottom w:val="0"/>
          <w:divBdr>
            <w:top w:val="none" w:sz="0" w:space="0" w:color="auto"/>
            <w:left w:val="none" w:sz="0" w:space="0" w:color="auto"/>
            <w:bottom w:val="none" w:sz="0" w:space="0" w:color="auto"/>
            <w:right w:val="none" w:sz="0" w:space="0" w:color="auto"/>
          </w:divBdr>
        </w:div>
        <w:div w:id="47269779">
          <w:marLeft w:val="0"/>
          <w:marRight w:val="0"/>
          <w:marTop w:val="0"/>
          <w:marBottom w:val="0"/>
          <w:divBdr>
            <w:top w:val="none" w:sz="0" w:space="0" w:color="auto"/>
            <w:left w:val="none" w:sz="0" w:space="0" w:color="auto"/>
            <w:bottom w:val="none" w:sz="0" w:space="0" w:color="auto"/>
            <w:right w:val="none" w:sz="0" w:space="0" w:color="auto"/>
          </w:divBdr>
        </w:div>
        <w:div w:id="1959951953">
          <w:marLeft w:val="0"/>
          <w:marRight w:val="0"/>
          <w:marTop w:val="0"/>
          <w:marBottom w:val="0"/>
          <w:divBdr>
            <w:top w:val="none" w:sz="0" w:space="0" w:color="auto"/>
            <w:left w:val="none" w:sz="0" w:space="0" w:color="auto"/>
            <w:bottom w:val="none" w:sz="0" w:space="0" w:color="auto"/>
            <w:right w:val="none" w:sz="0" w:space="0" w:color="auto"/>
          </w:divBdr>
        </w:div>
        <w:div w:id="658926897">
          <w:marLeft w:val="0"/>
          <w:marRight w:val="0"/>
          <w:marTop w:val="0"/>
          <w:marBottom w:val="0"/>
          <w:divBdr>
            <w:top w:val="none" w:sz="0" w:space="0" w:color="auto"/>
            <w:left w:val="none" w:sz="0" w:space="0" w:color="auto"/>
            <w:bottom w:val="none" w:sz="0" w:space="0" w:color="auto"/>
            <w:right w:val="none" w:sz="0" w:space="0" w:color="auto"/>
          </w:divBdr>
        </w:div>
        <w:div w:id="244070385">
          <w:marLeft w:val="0"/>
          <w:marRight w:val="0"/>
          <w:marTop w:val="0"/>
          <w:marBottom w:val="0"/>
          <w:divBdr>
            <w:top w:val="none" w:sz="0" w:space="0" w:color="auto"/>
            <w:left w:val="none" w:sz="0" w:space="0" w:color="auto"/>
            <w:bottom w:val="none" w:sz="0" w:space="0" w:color="auto"/>
            <w:right w:val="none" w:sz="0" w:space="0" w:color="auto"/>
          </w:divBdr>
        </w:div>
        <w:div w:id="711535327">
          <w:marLeft w:val="0"/>
          <w:marRight w:val="0"/>
          <w:marTop w:val="0"/>
          <w:marBottom w:val="0"/>
          <w:divBdr>
            <w:top w:val="none" w:sz="0" w:space="0" w:color="auto"/>
            <w:left w:val="none" w:sz="0" w:space="0" w:color="auto"/>
            <w:bottom w:val="none" w:sz="0" w:space="0" w:color="auto"/>
            <w:right w:val="none" w:sz="0" w:space="0" w:color="auto"/>
          </w:divBdr>
        </w:div>
        <w:div w:id="1343823560">
          <w:marLeft w:val="0"/>
          <w:marRight w:val="0"/>
          <w:marTop w:val="0"/>
          <w:marBottom w:val="0"/>
          <w:divBdr>
            <w:top w:val="none" w:sz="0" w:space="0" w:color="auto"/>
            <w:left w:val="none" w:sz="0" w:space="0" w:color="auto"/>
            <w:bottom w:val="none" w:sz="0" w:space="0" w:color="auto"/>
            <w:right w:val="none" w:sz="0" w:space="0" w:color="auto"/>
          </w:divBdr>
        </w:div>
        <w:div w:id="1878927346">
          <w:marLeft w:val="0"/>
          <w:marRight w:val="0"/>
          <w:marTop w:val="0"/>
          <w:marBottom w:val="0"/>
          <w:divBdr>
            <w:top w:val="none" w:sz="0" w:space="0" w:color="auto"/>
            <w:left w:val="none" w:sz="0" w:space="0" w:color="auto"/>
            <w:bottom w:val="none" w:sz="0" w:space="0" w:color="auto"/>
            <w:right w:val="none" w:sz="0" w:space="0" w:color="auto"/>
          </w:divBdr>
        </w:div>
        <w:div w:id="112873493">
          <w:marLeft w:val="0"/>
          <w:marRight w:val="0"/>
          <w:marTop w:val="0"/>
          <w:marBottom w:val="0"/>
          <w:divBdr>
            <w:top w:val="none" w:sz="0" w:space="0" w:color="auto"/>
            <w:left w:val="none" w:sz="0" w:space="0" w:color="auto"/>
            <w:bottom w:val="none" w:sz="0" w:space="0" w:color="auto"/>
            <w:right w:val="none" w:sz="0" w:space="0" w:color="auto"/>
          </w:divBdr>
        </w:div>
        <w:div w:id="1313372220">
          <w:marLeft w:val="0"/>
          <w:marRight w:val="0"/>
          <w:marTop w:val="0"/>
          <w:marBottom w:val="0"/>
          <w:divBdr>
            <w:top w:val="none" w:sz="0" w:space="0" w:color="auto"/>
            <w:left w:val="none" w:sz="0" w:space="0" w:color="auto"/>
            <w:bottom w:val="none" w:sz="0" w:space="0" w:color="auto"/>
            <w:right w:val="none" w:sz="0" w:space="0" w:color="auto"/>
          </w:divBdr>
        </w:div>
        <w:div w:id="1223830168">
          <w:marLeft w:val="0"/>
          <w:marRight w:val="0"/>
          <w:marTop w:val="0"/>
          <w:marBottom w:val="0"/>
          <w:divBdr>
            <w:top w:val="none" w:sz="0" w:space="0" w:color="auto"/>
            <w:left w:val="none" w:sz="0" w:space="0" w:color="auto"/>
            <w:bottom w:val="none" w:sz="0" w:space="0" w:color="auto"/>
            <w:right w:val="none" w:sz="0" w:space="0" w:color="auto"/>
          </w:divBdr>
        </w:div>
        <w:div w:id="669677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96A16-F0A9-45CC-B3CF-355525439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4351</Words>
  <Characters>24804</Characters>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2023-09-21T10:37:00Z</dcterms:created>
  <dcterms:modified xsi:type="dcterms:W3CDTF">2023-09-21T10:37:00Z</dcterms:modified>
</cp:coreProperties>
</file>